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23-TA-1488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17.05.2023.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142.1.9/6-20-14/23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Saeimas </w:t>
      </w:r>
      <w:r>
        <w:br/>
      </w:r>
      <w:r w:rsidR="00000000" w:rsidRPr="00000000" w:rsidDel="00000000">
        <w:rPr>
          <w:rStyle w:val="paragraph"/>
          <w:rtl w:val="0"/>
        </w:rPr>
        <w:t xml:space="preserve">Aizsardzības, iekšlietu un korupcijas novēršanas komisijai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valstij piekritīgo transportlīdzekļu nodošanu tiesībaizsardzības iestādēm un glābšanas dienestiem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Saeimas Aizsardzības, iekšlietu un korupcijas novēršanas komisijas (turpmāk – Komisija) 2023. gada 17. maija vēstulē Nr. 142.1.9/6-20-14/23 (turpmāk – vēstule) minēto aicinājumu Ministru kabinetam veikt grozījumus Ministru kabineta 2013. gada 26. novembra noteikumos Nr. 1354 ''Kārtība, kādā veicama valstij piekritīgās mantas uzskaite, novērtēšana, realizācija, nodošana bez maksas, iznīcināšana un realizācijas ieņēmumu ieskaitīšana valsts budžetā'' (turpmāk – Ministru kabineta 2013. gada 26. novembra noteikumi Nr. 1354), lai paredzētu iespēju nodot valstij piekritīgos transportlīdzekļus bez maksas Latvijas Republikas tiesībaizsardzības iestādēm un glābšanas dienestiem apmācību un normatīvajos aktos noteikto funkciju veikšanai.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Komisijas norādītajam, kopš 2022. gada 25. novembrī stājās spēkā grozījumi Krimināllikumā un saistītie grozījumi Ceļu satiksmes likumā, kas cita starpā paredz kriminālatbildību par transportlīdzekļa vadīšanu vai mācīšanu vadīt transportlīdzekli reibuma stāvoklī, tajā skaitā arī transportlīdzekļu konfiskāciju, konfiscēto transportlīdzekļu skaits ir ievērojami pieaudzis.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Jāatzīmē, ka atbilstoši Ministru kabineta 2013. gada 26. novembra noteikumu Nr. 1354 2. punktā noteiktajam par valstij piekritīgiem kļūst ne tikai konfiscētie transportlīdzekļi, bet arī  tādi transportlīdzekļi, par kuriem ir stājies spēkā iestādes lēmums, zvērināta notāra akts vai tiesas nolēmums par to atzīšanu par bezīpašnieka mantu, bezmantinieka mantu (gadījumos, kad aktā par mantojuma lietas izbeigšanu nav norādītas kreditoru pretenzijas), atrasto mantu, kas pāriet valsts kā atradēja īpašumā, atrasto apslēpto mantu, politisko organizāciju (partiju) pretlikumīgi iegūto mantu (tai skaitā anonīmi un pretlikumīgi saņemto dāvinājumu (ziedojumu)), mantu, no kuras persona atteikusies par labu valstij, kā arī pēc testamenta valsts īpašumā pārgājušo mantu un valsts amatpersonu ienākumiem un mantiskajiem labumiem, kas gūti, pārkāpjot atbilstošo jomu regulējošos normatīvos aktus.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izvērtējis Komisijas vēstulē izteikto priekšlikumu un informē, ka neatbalsta minētajā vēstulē piedāvāto grozījumu veikšanu Ministru kabineta 2013. gada 26. novembra noteikumos Nr. 1354. Vēršam uzmanību, ka tiesībaizsardzības iestādēm un glābšanas dienestiem ir jānodrošina apmācību process to budžeta ietvaros un tiem šobrīd ir iespēja pieteikties uz valstij piederošajiem nevajadzīgajiem transportlīdzekļiem, kad kāda valsts iestāde publicē attiecīgu informāciju par tai nevajadzīgo valsts kustamo mantu. Savukārt valstij piekritīgie transportlīdzekļi ir prioritāri novirzāmi palīdzības sniegšanai Ukrainai vai realizējami, izvēloties finansiāli izdevīgāko piedāvājumu (t. i., realizējot par augstāko cenu,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23-TA-1488</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23-TA-1488</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mk_vēstules_projekts_23-TA-1488.docx</dc:title>
</cp:coreProperties>
</file>

<file path=docProps/custom.xml><?xml version="1.0" encoding="utf-8"?>
<Properties xmlns="http://schemas.openxmlformats.org/officeDocument/2006/custom-properties" xmlns:vt="http://schemas.openxmlformats.org/officeDocument/2006/docPropsVTypes"/>
</file>