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janvāra noteikumos Nr. 69 "Emisijas kvotu izsolīšanas instrumenta finansēto projektu atklāta konkursa "Siltumnīcefekta gāzu emisiju samazināšana – zema enerģijas patēriņa ēkas"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piesārņojumu</w:t>
      </w:r>
      <w:r w:rsidR="00000000" w:rsidRPr="00000000" w:rsidDel="00000000">
        <w:rPr>
          <w:rStyle w:val="paragraph"/>
          <w:i w:val="1"/>
          <w:rtl w:val="0"/>
        </w:rPr>
        <w:t xml:space="preserve">"</w:t>
      </w:r>
      <w:r>
        <w:br/>
      </w:r>
      <w:r w:rsidR="00000000" w:rsidRPr="00000000" w:rsidDel="00000000">
        <w:rPr>
          <w:rStyle w:val="paragraph"/>
          <w:i w:val="1"/>
          <w:rtl w:val="0"/>
        </w:rPr>
        <w:t xml:space="preserve">32.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4.</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janvāra noteikumos Nr. 69 "Emisijas kvotu izsolīšanas instrumenta finansēto projektu atklāta konkursa "Siltumnīcefekta gāzu emisiju samazināšana – zema enerģijas patēriņa ēkas" nolikums" (Latvijas Vēstnesis, 2016, 30. nr.; 2020, 123A.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Klimata un enerģētikas ministrija (turpmāk – atbildīgā iestāde) ir atbildīga par konkursa nolikuma izstrādi, projektu iesniegumu pieņemšanu, vērtēšanu, apstiprināšanu, kā arī finanšu instrumenta finansējuma piešķiršanu. Atbildīgā iestāde ar līgumu deleģē valsts sabiedrībai ar ierobežotu atbildību "Vides investīciju fonds" (turpmāk – Vides investīciju fonds) sagatavot, noslēgt, grozīt un izbeigt līgumus par projektu īstenošanu (turpmāk – projekta līgums), pārbaudīt pārskatus un kontrolēt projektu īstenošanu, tai skaitā atgūt projektiem izmaksātos finanšu instrumenta līdzekļus, kas atzīti par neattiecināmiem, un veikt monitoringa uzraudzību, ieskaitot informācijas sniegšanu par projektu enerģijas ietaupījumu saskaņā ar normatīvajiem aktiem energoefektivitātes monitoringa jomā. Attiecībā uz šajā punktā minēto uzdevumu izpildi Vides investīciju fonds ir atbildīgās iestādes pārraudzībā."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 Ja Vides investīciju fonds atbilstoši finansējuma saņēmēja iesniegtajam monitoringa pārskatam par iepriekšējo monitoringa gadu (no kārtējā gada 1. janvāra līdz kārtējā gada 31. decembrim), izņemot pēdējo monitoringa gadu, konstatē, ka projekta līgumā noteiktais CO</w:t>
      </w:r>
      <w:r w:rsidR="00000000" w:rsidRPr="00000000" w:rsidDel="00000000">
        <w:rPr>
          <w:vertAlign w:val="subscript"/>
          <w:rtl w:val="0"/>
        </w:rPr>
        <w:t xml:space="preserve">2</w:t>
      </w:r>
      <w:r w:rsidR="00000000" w:rsidRPr="00000000" w:rsidDel="00000000">
        <w:rPr>
          <w:rtl w:val="0"/>
        </w:rPr>
        <w:t xml:space="preserve"> emisijas samazinājums gadā (attiecināms, ja projektā plānota esošas ēkas pārbūve vai atjaunošana), salīdzinot ar monitoringa pārskatā norādīto CO</w:t>
      </w:r>
      <w:r w:rsidR="00000000" w:rsidRPr="00000000" w:rsidDel="00000000">
        <w:rPr>
          <w:vertAlign w:val="subscript"/>
          <w:rtl w:val="0"/>
        </w:rPr>
        <w:t xml:space="preserve">2</w:t>
      </w:r>
      <w:r w:rsidR="00000000" w:rsidRPr="00000000" w:rsidDel="00000000">
        <w:rPr>
          <w:rtl w:val="0"/>
        </w:rPr>
        <w:t xml:space="preserve"> emisijas samazinājumu gadā, vai projekta līgumā noteiktais enerģijas patēriņš apkurei uz ēkas aprēķina platību, salīdzinot ar monitoringa pārskatā norādīto enerģijas patēriņu apkurei uz ēkas aprēķina platību, nav sasniegts, Vides investīciju fonds 20 darbdienu laikā pēc monitoringa pārskata apstiprināšanas aprēķina neatbilstības apmēru (turpmāk – neatbilstība) par monitoringa gadu un rakstiski informē par to finansējuma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Finansējuma saņēmējs 30 darbdienu laikā pēc šo noteikumu 90. punktā minētās informācijas par neatbilstības apmēru saņemšanas iesniedz Vides investīciju fondā pasākumu plānu neatbilstības novēršanai (turpmāk – plāns). Ja finansējuma saņēmējs neiesniedz monitoringa pārskatu vai plānu šajos noteikumos minētajā termiņā, Vides investīciju fonds aprēķina neatbilstību par monitoringa gadu un rakstiski par to informē finansējuma saņēmēju.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Finansējuma saņēmējs plānā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91.1.1. nepieciešamos CO</w:t>
      </w:r>
      <w:r w:rsidR="00000000" w:rsidRPr="00000000" w:rsidDel="00000000">
        <w:rPr>
          <w:vertAlign w:val="subscript"/>
          <w:rtl w:val="0"/>
        </w:rPr>
        <w:t xml:space="preserve">2</w:t>
      </w:r>
      <w:r w:rsidR="00000000" w:rsidRPr="00000000" w:rsidDel="00000000">
        <w:rPr>
          <w:rtl w:val="0"/>
        </w:rPr>
        <w:t xml:space="preserve"> emisijas vai enerģijas patēriņa apkurei uz ēkas aprēķina platību samazināšanas organizatoriskos un tehniskos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91.1.2. ja nepieciešams, – papildu energoefektivitātes pasākumus (turpmāk – papildu pasākumi), izņemot pasākumus, kuru īstenošanai finansējuma saņēmējs ir saņēmis finanšu instrumenta finansējumu vai ir saņēmis vai plāno saņemt finansējumu citu atbalsta programmu vai individuālā atbalsta projekta ietvaros, tai skaitā no finanšu instrumenta, Eiropas Savienības vai ārvalstu finanšu palīdzības līdzekļiem. Papildu pasākumus var īstenot ēkās un teritorijās, kas atbilst šo noteikumu 17.2. apakšpunktā minētajām prasībām, ja tās ir izpildītas projekta rezultātu monitoringa periodā. Papildu pasākumus apstiprina neatkarīgs eksperts ēku energoefektivitātes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Vides investīciju fonds 20 darbdienu laikā pēc plāna saņemšanas pārbauda tā atbilstību šo noteikumu 91.1. apakšpunktā minētajām prasībām un, ja plāns atbilst prasībām, apstiprina to un informē finansējuma saņēmēju. Ja Vides investīciju fonds konstatē, ka plāns neatbilst šo noteikumu  91.1.apakšpunktā minētajām prasībām, Vides investīciju fonds 20 darbdienu laikā pēc plāna saņemšanas rakstiski par to informē finansējuma saņēmēju, un finansējuma saņēmējs 20 darbdienu laikā pēc informācijas saņemšanas novērš konstatētos trūkumus."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Finansējuma saņēmējs plānu īsteno par saviem līdzekļiem. Pēc plāna īstenošanas finansējuma saņēmējs monitoringu nodrošina attiecībā uz esošajām projekta ietvaros īstenotajām aktivitātēm un plānā īstenotajiem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Ja Vides investīciju fonds pēc monitoringa perioda pēdējā monitoringa gada monitoringa pārskata saņemšanas konstatē, ka projekta līgumā plānotais CO</w:t>
      </w:r>
      <w:r w:rsidR="00000000" w:rsidRPr="00000000" w:rsidDel="00000000">
        <w:rPr>
          <w:vertAlign w:val="subscript"/>
          <w:rtl w:val="0"/>
        </w:rPr>
        <w:t xml:space="preserve">2</w:t>
      </w:r>
      <w:r w:rsidR="00000000" w:rsidRPr="00000000" w:rsidDel="00000000">
        <w:rPr>
          <w:rtl w:val="0"/>
        </w:rPr>
        <w:t xml:space="preserve"> emisijas samazinājums gadā (attiecināms, ja projektā plānota esošas ēkas pārbūve vai atjaunošana), salīdzinot ar monitoringa perioda monitoringa gada vidējo CO</w:t>
      </w:r>
      <w:r w:rsidR="00000000" w:rsidRPr="00000000" w:rsidDel="00000000">
        <w:rPr>
          <w:vertAlign w:val="subscript"/>
          <w:rtl w:val="0"/>
        </w:rPr>
        <w:t xml:space="preserve">2</w:t>
      </w:r>
      <w:r w:rsidR="00000000" w:rsidRPr="00000000" w:rsidDel="00000000">
        <w:rPr>
          <w:rtl w:val="0"/>
        </w:rPr>
        <w:t xml:space="preserve"> emisijas samazinājumu gadā, vai enerģijas patēriņš apkurei uz ēkas aprēķina platību, salīdzinot ar monitoringa perioda monitoringa gada vidējo enerģijas patēriņu apkurei uz ēkas aprēķina platību, nav sasniegts, Vides investīciju fonds aprēķina neatbilstības apmēru un atgūstamo neattiecināmo līdzekļu apjomu saskaņā ar šo noteikumu 95. un 96. punktu un rakstiski informē par to finansējuma saņēmēju. Vides investīciju fonds saskaņā ar 95. , 96. , 97. . un 97.</w:t>
      </w:r>
      <w:r w:rsidR="00000000" w:rsidRPr="00000000" w:rsidDel="00000000">
        <w:rPr>
          <w:vertAlign w:val="superscript"/>
          <w:rtl w:val="0"/>
        </w:rPr>
        <w:t xml:space="preserve">1</w:t>
      </w:r>
      <w:r w:rsidR="00000000" w:rsidRPr="00000000" w:rsidDel="00000000">
        <w:rPr>
          <w:rtl w:val="0"/>
        </w:rPr>
        <w:t xml:space="preserve">  punktu pieņem lēmumu par projektam izmaksāto finanšu instrumenta līdzekļu atzīšanu par neattiecināmiem un finanšu instrumenta līdzekļu atgūšanu. Atgūstamo neattiecināmo līdzekļu apjomu par enerģijas patēriņa apkurei uz ēkas aprēķina platību neatbilstību aprēķina tikai tajos gadījumos, ja projekta līgumā plānotais CO</w:t>
      </w:r>
      <w:r w:rsidR="00000000" w:rsidRPr="00000000" w:rsidDel="00000000">
        <w:rPr>
          <w:vertAlign w:val="subscript"/>
          <w:rtl w:val="0"/>
        </w:rPr>
        <w:t xml:space="preserve">2 </w:t>
      </w:r>
      <w:r w:rsidR="00000000" w:rsidRPr="00000000" w:rsidDel="00000000">
        <w:rPr>
          <w:rtl w:val="0"/>
        </w:rPr>
        <w:t xml:space="preserve">emisijas samazinājums gadā, salīdzinot ar monitoringa perioda monitoringa  gada vidējo CO</w:t>
      </w:r>
      <w:r w:rsidR="00000000" w:rsidRPr="00000000" w:rsidDel="00000000">
        <w:rPr>
          <w:vertAlign w:val="subscript"/>
          <w:rtl w:val="0"/>
        </w:rPr>
        <w:t xml:space="preserve">2</w:t>
      </w:r>
      <w:r w:rsidR="00000000" w:rsidRPr="00000000" w:rsidDel="00000000">
        <w:rPr>
          <w:rtl w:val="0"/>
        </w:rPr>
        <w:t xml:space="preserve"> emisiju samazinājumu gadā ir sasniegts."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Vides investīciju fonds sagatavo un līdz projektu īstenošanas perioda beigām publicē savā tīmekļvietnē finanšu instrumenta ietvaros īstenoto projektu monitoringa vadlīnijas. Vadlīnijās nosaka finanšu instrumenta ietvaros īstenoto projektu monitoringa principus, aktivitātes, kas iekļaujamas plānā, un kārtību, kādā tiek aprēķināts un monitoringa pārskata apstiprināšanā ņemts vērā CO</w:t>
      </w:r>
      <w:r w:rsidR="00000000" w:rsidRPr="00000000" w:rsidDel="00000000">
        <w:rPr>
          <w:vertAlign w:val="subscript"/>
          <w:rtl w:val="0"/>
        </w:rPr>
        <w:t xml:space="preserve">2</w:t>
      </w:r>
      <w:r w:rsidR="00000000" w:rsidRPr="00000000" w:rsidDel="00000000">
        <w:rPr>
          <w:rtl w:val="0"/>
        </w:rPr>
        <w:t xml:space="preserve"> emisijas samazinājums un enerģijas patēriņš apkurei uz ēkas aprēķina platību, ja finansējuma saņēmējs pēc projekta īstenošanas beigu termiņa ēkā ir veicis papildu energoefektivitātes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Atgūstamo neattiecināmo līdzekļu apjomu atbilstoši konstatētajai neatbilstībai nosaka,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(1 – ((CO</w:t>
      </w:r>
      <w:r w:rsidR="00000000" w:rsidRPr="00000000" w:rsidDel="00000000">
        <w:rPr>
          <w:vertAlign w:val="subscript"/>
          <w:rtl w:val="0"/>
        </w:rPr>
        <w:t xml:space="preserve">2_1. gads</w:t>
      </w:r>
      <w:r w:rsidR="00000000" w:rsidRPr="00000000" w:rsidDel="00000000">
        <w:rPr>
          <w:rtl w:val="0"/>
        </w:rPr>
        <w:t xml:space="preserve"> + CO</w:t>
      </w:r>
      <w:r w:rsidR="00000000" w:rsidRPr="00000000" w:rsidDel="00000000">
        <w:rPr>
          <w:vertAlign w:val="subscript"/>
          <w:rtl w:val="0"/>
        </w:rPr>
        <w:t xml:space="preserve">2_2. gads</w:t>
      </w:r>
      <w:r w:rsidR="00000000" w:rsidRPr="00000000" w:rsidDel="00000000">
        <w:rPr>
          <w:rtl w:val="0"/>
        </w:rPr>
        <w:t xml:space="preserve"> + CO</w:t>
      </w:r>
      <w:r w:rsidR="00000000" w:rsidRPr="00000000" w:rsidDel="00000000">
        <w:rPr>
          <w:vertAlign w:val="subscript"/>
          <w:rtl w:val="0"/>
        </w:rPr>
        <w:t xml:space="preserve">2</w:t>
      </w:r>
      <w:r w:rsidR="00000000" w:rsidRPr="00000000" w:rsidDel="00000000">
        <w:rPr>
          <w:rtl w:val="0"/>
        </w:rPr>
        <w:t xml:space="preserve"> </w:t>
      </w:r>
      <w:r w:rsidR="00000000" w:rsidRPr="00000000" w:rsidDel="00000000">
        <w:rPr>
          <w:vertAlign w:val="subscript"/>
          <w:rtl w:val="0"/>
        </w:rPr>
        <w:t xml:space="preserve">_3. gads</w:t>
      </w:r>
      <w:r w:rsidR="00000000" w:rsidRPr="00000000" w:rsidDel="00000000">
        <w:rPr>
          <w:rtl w:val="0"/>
        </w:rPr>
        <w:t xml:space="preserve"> + CO</w:t>
      </w:r>
      <w:r w:rsidR="00000000" w:rsidRPr="00000000" w:rsidDel="00000000">
        <w:rPr>
          <w:vertAlign w:val="subscript"/>
          <w:rtl w:val="0"/>
        </w:rPr>
        <w:t xml:space="preserve">2_4. gads</w:t>
      </w:r>
      <w:r w:rsidR="00000000" w:rsidRPr="00000000" w:rsidDel="00000000">
        <w:rPr>
          <w:rtl w:val="0"/>
        </w:rPr>
        <w:t xml:space="preserve"> + CO</w:t>
      </w:r>
      <w:r w:rsidR="00000000" w:rsidRPr="00000000" w:rsidDel="00000000">
        <w:rPr>
          <w:vertAlign w:val="subscript"/>
          <w:rtl w:val="0"/>
        </w:rPr>
        <w:t xml:space="preserve">2_n. gads</w:t>
      </w:r>
      <w:r w:rsidR="00000000" w:rsidRPr="00000000" w:rsidDel="00000000">
        <w:rPr>
          <w:rtl w:val="0"/>
        </w:rPr>
        <w:t xml:space="preserve">) / n) / CO</w:t>
      </w:r>
      <w:r w:rsidR="00000000" w:rsidRPr="00000000" w:rsidDel="00000000">
        <w:rPr>
          <w:vertAlign w:val="subscript"/>
          <w:rtl w:val="0"/>
        </w:rPr>
        <w:t xml:space="preserve">2_Līgums</w:t>
      </w:r>
      <w:r w:rsidR="00000000" w:rsidRPr="00000000" w:rsidDel="00000000">
        <w:rPr>
          <w:rtl w:val="0"/>
        </w:rPr>
        <w:t xml:space="preserve">)) × EKII ×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atgūstamais neattiecināmo līdzekļu apjoms (</w:t>
      </w:r>
      <w:r w:rsidR="00000000" w:rsidRPr="00000000" w:rsidDel="00000000">
        <w:rPr>
          <w:i w:val="1"/>
          <w:rtl w:val="0"/>
        </w:rPr>
        <w:t xml:space="preserve">euro</w:t>
      </w:r>
      <w:r w:rsidR="00000000" w:rsidRPr="00000000" w:rsidDel="00000000">
        <w:rPr>
          <w:rtl w:val="0"/>
        </w:rPr>
        <w:t xml:space="preserve">; noapaļots uz augšu līdz divām zīmēm aiz komata);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2_Līgums</w:t>
      </w:r>
      <w:r w:rsidR="00000000" w:rsidRPr="00000000" w:rsidDel="00000000">
        <w:rPr>
          <w:rtl w:val="0"/>
        </w:rPr>
        <w:t xml:space="preserve"> – projekta līgumā norādītais oglekļa dioksīda emisijas samazinājums gadā (tonnas);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2_1. gads</w:t>
      </w:r>
      <w:r w:rsidR="00000000" w:rsidRPr="00000000" w:rsidDel="00000000">
        <w:rPr>
          <w:rtl w:val="0"/>
        </w:rPr>
        <w:t xml:space="preserve">; CO</w:t>
      </w:r>
      <w:r w:rsidR="00000000" w:rsidRPr="00000000" w:rsidDel="00000000">
        <w:rPr>
          <w:vertAlign w:val="subscript"/>
          <w:rtl w:val="0"/>
        </w:rPr>
        <w:t xml:space="preserve">2_2. gads</w:t>
      </w:r>
      <w:r w:rsidR="00000000" w:rsidRPr="00000000" w:rsidDel="00000000">
        <w:rPr>
          <w:rtl w:val="0"/>
        </w:rPr>
        <w:t xml:space="preserve">; CO</w:t>
      </w:r>
      <w:r w:rsidR="00000000" w:rsidRPr="00000000" w:rsidDel="00000000">
        <w:rPr>
          <w:vertAlign w:val="subscript"/>
          <w:rtl w:val="0"/>
        </w:rPr>
        <w:t xml:space="preserve">2_3. gads</w:t>
      </w:r>
      <w:r w:rsidR="00000000" w:rsidRPr="00000000" w:rsidDel="00000000">
        <w:rPr>
          <w:rtl w:val="0"/>
        </w:rPr>
        <w:t xml:space="preserve">; CO</w:t>
      </w:r>
      <w:r w:rsidR="00000000" w:rsidRPr="00000000" w:rsidDel="00000000">
        <w:rPr>
          <w:vertAlign w:val="subscript"/>
          <w:rtl w:val="0"/>
        </w:rPr>
        <w:t xml:space="preserve">2_4. gads</w:t>
      </w:r>
      <w:r w:rsidR="00000000" w:rsidRPr="00000000" w:rsidDel="00000000">
        <w:rPr>
          <w:rtl w:val="0"/>
        </w:rPr>
        <w:t xml:space="preserve">; CO</w:t>
      </w:r>
      <w:r w:rsidR="00000000" w:rsidRPr="00000000" w:rsidDel="00000000">
        <w:rPr>
          <w:vertAlign w:val="subscript"/>
          <w:rtl w:val="0"/>
        </w:rPr>
        <w:t xml:space="preserve">2_n. gads</w:t>
      </w:r>
      <w:r w:rsidR="00000000" w:rsidRPr="00000000" w:rsidDel="00000000">
        <w:rPr>
          <w:rtl w:val="0"/>
        </w:rPr>
        <w:t xml:space="preserve"> – piecu gadu monitoringa periodā katrā monitoringa kalendāra gadā (no janvāra līdz decembrim) sasniegtais CO</w:t>
      </w:r>
      <w:r w:rsidR="00000000" w:rsidRPr="00000000" w:rsidDel="00000000">
        <w:rPr>
          <w:vertAlign w:val="subscript"/>
          <w:rtl w:val="0"/>
        </w:rPr>
        <w:t xml:space="preserve">2 </w:t>
      </w:r>
      <w:r w:rsidR="00000000" w:rsidRPr="00000000" w:rsidDel="00000000">
        <w:rPr>
          <w:rtl w:val="0"/>
        </w:rPr>
        <w:t xml:space="preserve">emisijas samazinājums (tonnas; noapaļots uz augšu līdz divām zīmēm aiz komata);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gadu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 – piešķirtais finanšu instrumenta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Atgūstamo neattiecināmo līdzekļu apjomu atbilstoši konstatētajai neatbilstībai attiecībā uz enerģijas patēriņu apkurei uz ēkas aprēķina platību nosaka,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5715000" cy="82867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715000" cy="828675"/>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atgūstamais neattiecināmo līdzekļu apjoms, </w:t>
      </w:r>
      <w:r w:rsidR="00000000" w:rsidRPr="00000000" w:rsidDel="00000000">
        <w:rPr>
          <w:i w:val="1"/>
          <w:rtl w:val="0"/>
        </w:rPr>
        <w:t xml:space="preserve">euro </w:t>
      </w:r>
      <w:r w:rsidR="00000000" w:rsidRPr="00000000" w:rsidDel="00000000">
        <w:rPr>
          <w:rtl w:val="0"/>
        </w:rPr>
        <w:t xml:space="preserve">(noapaļots uz augšu līdz divām zīmēm aiz komata);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Q</w:t>
      </w:r>
      <w:r w:rsidR="00000000" w:rsidRPr="00000000" w:rsidDel="00000000">
        <w:rPr>
          <w:vertAlign w:val="subscript"/>
          <w:rtl w:val="0"/>
        </w:rPr>
        <w:t xml:space="preserve">Līgums</w:t>
      </w:r>
      <w:r w:rsidR="00000000" w:rsidRPr="00000000" w:rsidDel="00000000">
        <w:rPr>
          <w:rtl w:val="0"/>
        </w:rPr>
        <w:t xml:space="preserve"> – projekta līgumā un projekta iesniegumā norādītais enerģijas patēriņš apkurei uz ēkas aprēķina platību gadā, kWh/m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Q</w:t>
      </w:r>
      <w:r w:rsidR="00000000" w:rsidRPr="00000000" w:rsidDel="00000000">
        <w:rPr>
          <w:vertAlign w:val="subscript"/>
          <w:rtl w:val="0"/>
        </w:rPr>
        <w:t xml:space="preserve">1.gads;</w:t>
      </w:r>
      <w:r w:rsidR="00000000" w:rsidRPr="00000000" w:rsidDel="00000000">
        <w:rPr>
          <w:rtl w:val="0"/>
        </w:rPr>
        <w:t xml:space="preserve"> Q</w:t>
      </w:r>
      <w:r w:rsidR="00000000" w:rsidRPr="00000000" w:rsidDel="00000000">
        <w:rPr>
          <w:vertAlign w:val="subscript"/>
          <w:rtl w:val="0"/>
        </w:rPr>
        <w:t xml:space="preserve">2.gads</w:t>
      </w:r>
      <w:r w:rsidR="00000000" w:rsidRPr="00000000" w:rsidDel="00000000">
        <w:rPr>
          <w:rtl w:val="0"/>
        </w:rPr>
        <w:t xml:space="preserve">; Q3.gads; Q</w:t>
      </w:r>
      <w:r w:rsidR="00000000" w:rsidRPr="00000000" w:rsidDel="00000000">
        <w:rPr>
          <w:vertAlign w:val="subscript"/>
          <w:rtl w:val="0"/>
        </w:rPr>
        <w:t xml:space="preserve">4.gads</w:t>
      </w:r>
      <w:r w:rsidR="00000000" w:rsidRPr="00000000" w:rsidDel="00000000">
        <w:rPr>
          <w:rtl w:val="0"/>
        </w:rPr>
        <w:t xml:space="preserve">; Q</w:t>
      </w:r>
      <w:r w:rsidR="00000000" w:rsidRPr="00000000" w:rsidDel="00000000">
        <w:rPr>
          <w:vertAlign w:val="subscript"/>
          <w:rtl w:val="0"/>
        </w:rPr>
        <w:t xml:space="preserve">n.gads </w:t>
      </w:r>
      <w:r w:rsidR="00000000" w:rsidRPr="00000000" w:rsidDel="00000000">
        <w:rPr>
          <w:rtl w:val="0"/>
        </w:rPr>
        <w:t xml:space="preserve">–  piecu gadu monitoringa periodā katrā monitoringa gadā sasniegtais enerģijas patēriņš apkurei uz apkurināmo telpu platību gadā, kWh/m2 (skaitli nedrīkst noapaļot uz augšu);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 – gadu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 – piešķirtais finanšu instrumenta finansējums, </w:t>
      </w:r>
      <w:r w:rsidR="00000000" w:rsidRPr="00000000" w:rsidDel="00000000">
        <w:rPr>
          <w:i w:val="1"/>
          <w:rtl w:val="0"/>
        </w:rPr>
        <w:t xml:space="preserve">euro;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97.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Vides investīciju fondam ir tiesības projekta īstenošanas laikā, kā arī piecus gadus pēc projekta īstenošanas beigu termiņa pārbaudīt projekta īstenošanas pārskatā, projekta līgumā un monitoringa pārskatā sniegto informāciju, apsekojot projekta īstenošanas vietu. Finansējuma saņēmēja pienākums ir nodrošināt Vides investīciju fondam piekļuvi projekta īstenošanas vietai un visai ar projektu saistītajai dokumentācijai."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97.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Vides investīciju fonds, pieņemot lēmumu par projektam izmaksāto finanšu instrumenta līdzekļu atzīšanu par neattiecināmiem un finansējuma atgūšanu atbilstoši konstatētajai CO</w:t>
      </w:r>
      <w:r w:rsidR="00000000" w:rsidRPr="00000000" w:rsidDel="00000000">
        <w:rPr>
          <w:vertAlign w:val="subscript"/>
          <w:rtl w:val="0"/>
        </w:rPr>
        <w:t xml:space="preserve">2</w:t>
      </w:r>
      <w:r w:rsidR="00000000" w:rsidRPr="00000000" w:rsidDel="00000000">
        <w:rPr>
          <w:rtl w:val="0"/>
        </w:rPr>
        <w:t xml:space="preserve"> emisijas neatbilstībai, ņem vērā CO</w:t>
      </w:r>
      <w:r w:rsidR="00000000" w:rsidRPr="00000000" w:rsidDel="00000000">
        <w:rPr>
          <w:vertAlign w:val="subscript"/>
          <w:rtl w:val="0"/>
        </w:rPr>
        <w:t xml:space="preserve">2</w:t>
      </w:r>
      <w:r w:rsidR="00000000" w:rsidRPr="00000000" w:rsidDel="00000000">
        <w:rPr>
          <w:rtl w:val="0"/>
        </w:rPr>
        <w:t xml:space="preserve"> emisiju samazinājuma apjomu no papildu pasākumiem, kas veikti pēc projekta īstenošanas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Finansējuma saņēmējs finanšu instrumenta līdzekļus, kas atzīti par neattiecināmiem un atgūstamiem saskaņā ar šo noteikumu 93. punktu, atmaksā atbildīgajai iestādei uz Vides investīciju fonda vēstulē norādīto kontu atbilstoši projekta līgumā noteiktajai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98.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piešķiršanas prasības, atbalsta saņēmējs atmaksā atbildīgajai iestādei uz Vides investīciju fonda vēstulē norādīto kontu visu projekta ietvaros saņemto nelikumīgo komercdarbības atbalstu kopā ar procentiem, kuru likmi publicē Eiropas Komisija saskaņā ar Komisijas 2004. gada 21. aprīļa Regulas (EK) Nr. 794/2004, ar ko īsteno Padomes Regulu (ES) 2015/1589, ar ko nosaka sīki izstrādātus noteikumus Līguma par Eiropas Savienības darbību 108. panta piemērošanai (turpmāk – regula Nr. 794/2004), 10. pantu, tiem pieskaitot 100 bāzes punktus, no dienas, kad nelikumīgais komercdarbības atbalsts tika izmaksāts finansējuma saņēmējam, līdz tā atgūšanas dienai, ievērojot regulas Nr. 794/2004 11. pantā noteikto procentu likmes piemērošanas metodi."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23-TA-3193</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23-TA-3193</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noteikumu_(grozījumu)_projekts_23-TA-3193.docx</dc:title>
</cp:coreProperties>
</file>

<file path=docProps/custom.xml><?xml version="1.0" encoding="utf-8"?>
<Properties xmlns="http://schemas.openxmlformats.org/officeDocument/2006/custom-properties" xmlns:vt="http://schemas.openxmlformats.org/officeDocument/2006/docPropsVTypes"/>
</file>