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arodslimība noteikta pirmreizēji*.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Valsts darba inspekcijai nosūtītā ziņojuma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Arodslimību diagnozes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Darbavietas nosaukums, kurā pacientam bijis kontakts ar kaitīgo darba faktoru*.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Darba stāžs: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kopējais darba stāžs*;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darba stāžs kaitīgajā profesijā*.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Profesija arodslimības izraisītājfaktora iedarbības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Saimnieciskā darbība arodslimības izraisītājfaktora iedarbības laikā saskaņā ar NACE 2. red. (Saimniecisko darbību statistiskās klasifikācijas 2. redakcija)*.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Arodslimības pirmreizējās atzīšanas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Slimības smaguma pakāpe arodslimības pirmreizējās atzīšanas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Arodslimību un to izraisītājfaktoru klasifikācija atbilstoši arodslimību izmeklēšanu un uzskaiti regulējošajiem normatīvajiem aktiem: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14.1. arodslimība*;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14.2. konkrētā arodslimības izraisītājfaktora noteicošās arodslimības diagnoze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14.3. arodslimību izraisītājfaktors*;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14.4. arodslimību izraisītājfaktora lietojuma kategorija*;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14.5. kaitīgā arodfaktora faktiskā koncentrācija vai līmenis*;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14.6. kaitīgā arodfaktora faktiskā koncentrācija vai līmenis pārsniedz normu*.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