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fondēto pensiju likuma</w:t>
      </w:r>
      <w:r>
        <w:br/>
      </w:r>
      <w:r w:rsidR="00000000" w:rsidRPr="00000000" w:rsidDel="00000000">
        <w:rPr>
          <w:rStyle w:val="paragraph"/>
          <w:i w:val="1"/>
          <w:rtl w:val="0"/>
        </w:rPr>
        <w:t xml:space="preserve">11. panta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daļas 2. punktu un 11. panta 5.</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fondēto pensiju shēmas līdzekļu pārvaldītājs (turpmāk – pārvaldītājs) aprēķina maksājuma par ieguldījumu plāna pārvaldi (turpmāk – maksājums) pastāvīgo un mainīgo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veikta maksājuma pastāvīgās un mainīgās daļas uzskaite un ieturēšana.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diena – diena, par kuru noteikta ieguldījumu plāna vērtība un ieguldījumu plāna daļas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daļas vērtība (DV) – ieguldījumu plāna daļas vērtība aprēķina dienā pēc maksājuma pastāvīgās un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nepilnā daļas vērtība (DVN) – ieguldījumu plāna daļas vērtība aprēķina dienā pirms maksājuma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atskaites indekss – indekss, ko izmanto DVN pieauguma (DVNP) salīdzināšanai un maksājuma mainīgās daļas aprēķinam. Atskaites indekss veidots kā parāda vērtspapīru (turpmāk – obligācijas) un kapitāla vērtspapīru (turpmāk – akcijas) indeksu kombinācija;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perioda sākuma diena – diena, ko izmanto nepilnās daļas vērtības pieauguma (DVNP) un atskaites indeksa pieauguma (AIP) aprēķinā. Perioda sākuma diena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aprēķina diena, ja aprēķins veikts par vienu aprēķina dienu;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gada pēdējā aprēķina diena, ja aprēķins veikts par periodu no gada sākuma;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paša datuma aprēķina diena pirms astoņiem gadiem vai, ja par šo datumu nav aprēķina dienas, pirmā pieejamā aprēķina diena pirms šā paša datuma aprēķina dienas pirms astoņiem gadiem, ja aprēķins veikts par astoņu gadu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akciju atskaites indeksa komponente (AAIK) – indekss, ko izmanto saliktā akciju atskaites indeksa (SAAI) aprēķinam. AAIK</w:t>
      </w:r>
      <w:r w:rsidR="00000000" w:rsidRPr="00000000" w:rsidDel="00000000">
        <w:rPr>
          <w:vertAlign w:val="subscript"/>
          <w:rtl w:val="0"/>
        </w:rPr>
        <w:t xml:space="preserve">1</w:t>
      </w:r>
      <w:r w:rsidR="00000000" w:rsidRPr="00000000" w:rsidDel="00000000">
        <w:rPr>
          <w:rtl w:val="0"/>
        </w:rPr>
        <w:t xml:space="preserve"> ir indekss </w:t>
      </w:r>
      <w:r w:rsidR="00000000" w:rsidRPr="00000000" w:rsidDel="00000000">
        <w:rPr>
          <w:i w:val="1"/>
          <w:rtl w:val="0"/>
        </w:rPr>
        <w:t xml:space="preserve">STOXX Europe 600 Net Return (SXXR Index; ISIN EU0009658210; FIGI BBG000P5N0N9)</w:t>
      </w:r>
      <w:r w:rsidR="00000000" w:rsidRPr="00000000" w:rsidDel="00000000">
        <w:rPr>
          <w:rtl w:val="0"/>
        </w:rPr>
        <w:t xml:space="preserve"> un AAIK</w:t>
      </w:r>
      <w:r w:rsidR="00000000" w:rsidRPr="00000000" w:rsidDel="00000000">
        <w:rPr>
          <w:vertAlign w:val="subscript"/>
          <w:rtl w:val="0"/>
        </w:rPr>
        <w:t xml:space="preserve">2</w:t>
      </w:r>
      <w:r w:rsidR="00000000" w:rsidRPr="00000000" w:rsidDel="00000000">
        <w:rPr>
          <w:rtl w:val="0"/>
        </w:rPr>
        <w:t xml:space="preserve"> ir indekss </w:t>
      </w:r>
      <w:r w:rsidR="00000000" w:rsidRPr="00000000" w:rsidDel="00000000">
        <w:rPr>
          <w:i w:val="1"/>
          <w:rtl w:val="0"/>
        </w:rPr>
        <w:t xml:space="preserve">MSCI ACWI Net Return EUR (NDEEWNR Index, FIGI BBG002T2YBW2)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saliktais akciju atskaites indekss (SAAI) – akciju atskaites indeksu komponenšu (AAIK</w:t>
      </w:r>
      <w:r w:rsidR="00000000" w:rsidRPr="00000000" w:rsidDel="00000000">
        <w:rPr>
          <w:vertAlign w:val="subscript"/>
          <w:rtl w:val="0"/>
        </w:rPr>
        <w:t xml:space="preserve">1</w:t>
      </w:r>
      <w:r w:rsidR="00000000" w:rsidRPr="00000000" w:rsidDel="00000000">
        <w:rPr>
          <w:rtl w:val="0"/>
        </w:rPr>
        <w:t xml:space="preserve"> un AAIK</w:t>
      </w:r>
      <w:r w:rsidR="00000000" w:rsidRPr="00000000" w:rsidDel="00000000">
        <w:rPr>
          <w:vertAlign w:val="subscript"/>
          <w:rtl w:val="0"/>
        </w:rPr>
        <w:t xml:space="preserve">2</w:t>
      </w:r>
      <w:r w:rsidR="00000000" w:rsidRPr="00000000" w:rsidDel="00000000">
        <w:rPr>
          <w:rtl w:val="0"/>
        </w:rPr>
        <w:t xml:space="preserve">) summa, pielietojot akciju atskaites indeksa komponentes proporciju (P</w:t>
      </w:r>
      <w:r w:rsidR="00000000" w:rsidRPr="00000000" w:rsidDel="00000000">
        <w:rPr>
          <w:vertAlign w:val="subscript"/>
          <w:rtl w:val="0"/>
        </w:rPr>
        <w:t xml:space="preserve">AAIK</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akciju atskaites indeksa komponentes proporcija (P</w:t>
      </w:r>
      <w:r w:rsidR="00000000" w:rsidRPr="00000000" w:rsidDel="00000000">
        <w:rPr>
          <w:vertAlign w:val="subscript"/>
          <w:rtl w:val="0"/>
        </w:rPr>
        <w:t xml:space="preserve">AAIK</w:t>
      </w:r>
      <w:r w:rsidR="00000000" w:rsidRPr="00000000" w:rsidDel="00000000">
        <w:rPr>
          <w:rtl w:val="0"/>
        </w:rPr>
        <w:t xml:space="preserve">) – koeficients, kas, aprēķinot SAAI, nosaka izvēlētā AAIK īpatsvaru. P</w:t>
      </w:r>
      <w:r w:rsidR="00000000" w:rsidRPr="00000000" w:rsidDel="00000000">
        <w:rPr>
          <w:vertAlign w:val="subscript"/>
          <w:rtl w:val="0"/>
        </w:rPr>
        <w:t xml:space="preserve">AAIK1 </w:t>
      </w:r>
      <w:r w:rsidR="00000000" w:rsidRPr="00000000" w:rsidDel="00000000">
        <w:rPr>
          <w:rtl w:val="0"/>
        </w:rPr>
        <w:t xml:space="preserve">ir proporcija 50% jeb koeficients 0,5 no AAIK</w:t>
      </w:r>
      <w:r w:rsidR="00000000" w:rsidRPr="00000000" w:rsidDel="00000000">
        <w:rPr>
          <w:vertAlign w:val="subscript"/>
          <w:rtl w:val="0"/>
        </w:rPr>
        <w:t xml:space="preserve">1</w:t>
      </w:r>
      <w:r w:rsidR="00000000" w:rsidRPr="00000000" w:rsidDel="00000000">
        <w:rPr>
          <w:rtl w:val="0"/>
        </w:rPr>
        <w:t xml:space="preserve">un P</w:t>
      </w:r>
      <w:r w:rsidR="00000000" w:rsidRPr="00000000" w:rsidDel="00000000">
        <w:rPr>
          <w:vertAlign w:val="subscript"/>
          <w:rtl w:val="0"/>
        </w:rPr>
        <w:t xml:space="preserve">AAIK2</w:t>
      </w:r>
      <w:r w:rsidR="00000000" w:rsidRPr="00000000" w:rsidDel="00000000">
        <w:rPr>
          <w:rtl w:val="0"/>
        </w:rPr>
        <w:t xml:space="preserve"> ir proporcija 50% jeb koeficients 0,5 no AAIK</w:t>
      </w:r>
      <w:r w:rsidR="00000000" w:rsidRPr="00000000" w:rsidDel="00000000">
        <w:rPr>
          <w:vertAlign w:val="subscript"/>
          <w:rtl w:val="0"/>
        </w:rPr>
        <w:t xml:space="preserve">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pasīvā līdzekļu pārvaldīšanas stratēģija - stratēģija, saskaņā ar kuru ieguldījumu plāna līdzekļi tiek ieguldīti tirgus indeksiem piesaistītajos fondos;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kapitāla vērtspapīru īpatsvars (MKVI) – ieguldījumu plāna prospektā noteiktais maksimālais ieguldījumu īpatsvars kapitāla vērtspapīros,  alternatīvo  ieguldījumu fondos vai tādos ieguldījumu  fondos,  kas var veikt ieguldījumus kapitāla vērtspapīros vai citos riska ziņā tiem pielīdzināmos finanšu instrumentos;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SAAI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Perioda sākuma dienai: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6115050" cy="9810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6115050" cy="981075"/>
                    </a:xfrm>
                    <a:prstGeom prst="rect"/>
                    <a:ln/>
                  </pic:spPr>
                </pic:pic>
              </a:graphicData>
            </a:graphic>
          </wp:inline>
        </w:drawing>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nākamajai dienai: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6115050" cy="923925"/>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6115050" cy="923925"/>
                    </a:xfrm>
                    <a:prstGeom prst="rect"/>
                    <a:ln/>
                  </pic:spPr>
                </pic:pic>
              </a:graphicData>
            </a:graphic>
          </wp:inline>
        </w:drawing>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SAAI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iepriekšējas dienas SAAI vērtība;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AAIK</w:t>
      </w:r>
      <w:r w:rsidR="00000000" w:rsidRPr="00000000" w:rsidDel="00000000">
        <w:rPr>
          <w:vertAlign w:val="subscript"/>
          <w:rtl w:val="0"/>
        </w:rPr>
        <w:t xml:space="preserve">1,t</w:t>
      </w:r>
      <w:r w:rsidR="00000000" w:rsidRPr="00000000" w:rsidDel="00000000">
        <w:rPr>
          <w:rtl w:val="0"/>
        </w:rPr>
        <w:t xml:space="preserve"> - AAIK</w:t>
      </w:r>
      <w:r w:rsidR="00000000" w:rsidRPr="00000000" w:rsidDel="00000000">
        <w:rPr>
          <w:vertAlign w:val="subscript"/>
          <w:rtl w:val="0"/>
        </w:rPr>
        <w:t xml:space="preserve">1</w:t>
      </w:r>
      <w:r w:rsidR="00000000" w:rsidRPr="00000000" w:rsidDel="00000000">
        <w:rPr>
          <w:rtl w:val="0"/>
        </w:rPr>
        <w:t xml:space="preserve"> vērtība aprēķina dienā;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AAIK</w:t>
      </w:r>
      <w:r w:rsidR="00000000" w:rsidRPr="00000000" w:rsidDel="00000000">
        <w:rPr>
          <w:vertAlign w:val="subscript"/>
          <w:rtl w:val="0"/>
        </w:rPr>
        <w:t xml:space="preserve">1,0</w:t>
      </w:r>
      <w:r w:rsidR="00000000" w:rsidRPr="00000000" w:rsidDel="00000000">
        <w:rPr>
          <w:rtl w:val="0"/>
        </w:rPr>
        <w:t xml:space="preserve"> - AAIK</w:t>
      </w:r>
      <w:r w:rsidR="00000000" w:rsidRPr="00000000" w:rsidDel="00000000">
        <w:rPr>
          <w:vertAlign w:val="subscript"/>
          <w:rtl w:val="0"/>
        </w:rPr>
        <w:t xml:space="preserve">1</w:t>
      </w:r>
      <w:r w:rsidR="00000000" w:rsidRPr="00000000" w:rsidDel="00000000">
        <w:rPr>
          <w:rtl w:val="0"/>
        </w:rPr>
        <w:t xml:space="preserve"> vērtība perioda sākuma dienā;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AAIK</w:t>
      </w:r>
      <w:r w:rsidR="00000000" w:rsidRPr="00000000" w:rsidDel="00000000">
        <w:rPr>
          <w:vertAlign w:val="subscript"/>
          <w:rtl w:val="0"/>
        </w:rPr>
        <w:t xml:space="preserve">2,t</w:t>
      </w:r>
      <w:r w:rsidR="00000000" w:rsidRPr="00000000" w:rsidDel="00000000">
        <w:rPr>
          <w:rtl w:val="0"/>
        </w:rPr>
        <w:t xml:space="preserve"> - AAIK</w:t>
      </w:r>
      <w:r w:rsidR="00000000" w:rsidRPr="00000000" w:rsidDel="00000000">
        <w:rPr>
          <w:vertAlign w:val="subscript"/>
          <w:rtl w:val="0"/>
        </w:rPr>
        <w:t xml:space="preserve">2</w:t>
      </w:r>
      <w:r w:rsidR="00000000" w:rsidRPr="00000000" w:rsidDel="00000000">
        <w:rPr>
          <w:rtl w:val="0"/>
        </w:rPr>
        <w:t xml:space="preserve"> vērtība aprēķina dienā;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AAIK</w:t>
      </w:r>
      <w:r w:rsidR="00000000" w:rsidRPr="00000000" w:rsidDel="00000000">
        <w:rPr>
          <w:vertAlign w:val="subscript"/>
          <w:rtl w:val="0"/>
        </w:rPr>
        <w:t xml:space="preserve">2,0</w:t>
      </w:r>
      <w:r w:rsidR="00000000" w:rsidRPr="00000000" w:rsidDel="00000000">
        <w:rPr>
          <w:rtl w:val="0"/>
        </w:rPr>
        <w:t xml:space="preserve"> - AAIK</w:t>
      </w:r>
      <w:r w:rsidR="00000000" w:rsidRPr="00000000" w:rsidDel="00000000">
        <w:rPr>
          <w:vertAlign w:val="subscript"/>
          <w:rtl w:val="0"/>
        </w:rPr>
        <w:t xml:space="preserve">2</w:t>
      </w:r>
      <w:r w:rsidR="00000000" w:rsidRPr="00000000" w:rsidDel="00000000">
        <w:rPr>
          <w:rtl w:val="0"/>
        </w:rPr>
        <w:t xml:space="preserve"> vērtība perioda sākuma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DVN pieaugumu (DVNP), ko ieguldījumu plāns nopelnījis vai zaudējis pirms maksājuma mainīgās daļas ieturēšanas aprēķina dienā,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43025" cy="381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1343025" cy="38100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DVNP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w:t>
      </w:r>
      <w:r w:rsidR="00000000" w:rsidRPr="00000000" w:rsidDel="00000000">
        <w:rPr>
          <w:vertAlign w:val="subscript"/>
          <w:rtl w:val="0"/>
        </w:rPr>
        <w:t xml:space="preserve">t</w:t>
      </w:r>
      <w:r w:rsidR="00000000" w:rsidRPr="00000000" w:rsidDel="00000000">
        <w:rPr>
          <w:rtl w:val="0"/>
        </w:rPr>
        <w:t xml:space="preserve"> – aprēķina dienas DVN;</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w:t>
      </w:r>
      <w:r w:rsidR="00000000" w:rsidRPr="00000000" w:rsidDel="00000000">
        <w:rPr>
          <w:vertAlign w:val="subscript"/>
          <w:rtl w:val="0"/>
        </w:rPr>
        <w:t xml:space="preserve">0</w:t>
      </w:r>
      <w:r w:rsidR="00000000" w:rsidRPr="00000000" w:rsidDel="00000000">
        <w:rPr>
          <w:rtl w:val="0"/>
        </w:rPr>
        <w:t xml:space="preserve"> – perioda sākuma dienas DV.</w:t>
      </w:r>
    </w:p>
    <w:p w:rsidP="00000000" w:rsidRDefault="00000000" w:rsidR="00000000" w:rsidRPr="00000000" w:rsidDel="00000000">
      <w:pPr>
        <w:numPr>
          <w:ilvl w:val="0"/>
          <w:numId w:val="1"/>
        </w:numPr>
        <w:ind w:left="0" w:hanging="-706"/>
        <w:jc w:val="center"/>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Atskaites indeksa pieaugumu (AIP) aprēķina, izmantojot šādu formulu:</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5734050" cy="733425"/>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5734050" cy="733425"/>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rtl w:val="0"/>
        </w:rPr>
        <w:t xml:space="preserve"> – aprēķina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w:t>
      </w:r>
      <w:r w:rsidR="00000000" w:rsidRPr="00000000" w:rsidDel="00000000">
        <w:rPr>
          <w:i w:val="1"/>
          <w:rtl w:val="0"/>
        </w:rPr>
        <w:t xml:space="preserve">LBEATREU Index, FIGI </w:t>
      </w:r>
      <w:r w:rsidR="00000000" w:rsidRPr="00000000" w:rsidDel="00000000">
        <w:rPr>
          <w:rtl w:val="0"/>
        </w:rPr>
        <w:t xml:space="preserve">BBG002SG6D04);</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0</w:t>
      </w:r>
      <w:r w:rsidR="00000000" w:rsidRPr="00000000" w:rsidDel="00000000">
        <w:rPr>
          <w:rtl w:val="0"/>
        </w:rPr>
        <w:t xml:space="preserve"> – perioda sākuma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SAAI</w:t>
      </w:r>
      <w:r w:rsidR="00000000" w:rsidRPr="00000000" w:rsidDel="00000000">
        <w:rPr>
          <w:vertAlign w:val="subscript"/>
          <w:rtl w:val="0"/>
        </w:rPr>
        <w:t xml:space="preserve">t</w:t>
      </w:r>
      <w:r w:rsidR="00000000" w:rsidRPr="00000000" w:rsidDel="00000000">
        <w:rPr>
          <w:rtl w:val="0"/>
        </w:rPr>
        <w:t xml:space="preserve">  –  SAAI vērtība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SAAI</w:t>
      </w:r>
      <w:r w:rsidR="00000000" w:rsidRPr="00000000" w:rsidDel="00000000">
        <w:rPr>
          <w:vertAlign w:val="subscript"/>
          <w:rtl w:val="0"/>
        </w:rPr>
        <w:t xml:space="preserve">0</w:t>
      </w:r>
      <w:r w:rsidR="00000000" w:rsidRPr="00000000" w:rsidDel="00000000">
        <w:rPr>
          <w:rtl w:val="0"/>
        </w:rPr>
        <w:t xml:space="preserve"> – SAAI vērtība perioda sākuma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koeficients, kas ir aprēķināts no MKVI atņemot 10 procentpunktus (KAP=MKVI-10%). KAP ir 0,00 (nulle), ja plāna MKVI ir vienāds vai mazāks par 10%.</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aprēķina dienā obligāciju vai akciju indekss nav pieejams, izmanto pēdējo zināmo attiecīgā indeksa vērtību pirms šīs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kāds no aprēķinos izmantotajiem indeksiem tiek izbeigts, tad pārvaldītājs attiecīgo indeksu aprēķinos aizstāj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Bloomberg Barclays Euro Aggregate Total Return Euro Unhedged</w:t>
      </w:r>
      <w:r w:rsidR="00000000" w:rsidRPr="00000000" w:rsidDel="00000000">
        <w:rPr>
          <w:rtl w:val="0"/>
        </w:rPr>
        <w:t xml:space="preserve"> aizstāj ar 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SBEB Index, FIGI BBG002SBH4Y6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aizstāj ar indeksu </w:t>
      </w:r>
      <w:r w:rsidR="00000000" w:rsidRPr="00000000" w:rsidDel="00000000">
        <w:rPr>
          <w:i w:val="1"/>
          <w:rtl w:val="0"/>
        </w:rPr>
        <w:t xml:space="preserve">iBoxx Euro Eurozone Sovereign 5-7 Total Return Index</w:t>
      </w:r>
      <w:r w:rsidR="00000000" w:rsidRPr="00000000" w:rsidDel="00000000">
        <w:rPr>
          <w:rtl w:val="0"/>
        </w:rPr>
        <w:t xml:space="preserve"> (</w:t>
      </w:r>
      <w:r w:rsidR="00000000" w:rsidRPr="00000000" w:rsidDel="00000000">
        <w:rPr>
          <w:i w:val="1"/>
          <w:rtl w:val="0"/>
        </w:rPr>
        <w:t xml:space="preserve">QW1M Index, FIGI BBG000RFTW22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STOXX Europe 600 Net Return (SXXR Index; ISIN EU0009658210; FIGI BBG000P5N0N9) </w:t>
      </w:r>
      <w:r w:rsidR="00000000" w:rsidRPr="00000000" w:rsidDel="00000000">
        <w:rPr>
          <w:rtl w:val="0"/>
        </w:rPr>
        <w:t xml:space="preserve">aizstāj ar indeksu</w:t>
      </w:r>
      <w:r w:rsidR="00000000" w:rsidRPr="00000000" w:rsidDel="00000000">
        <w:rPr>
          <w:i w:val="1"/>
          <w:rtl w:val="0"/>
        </w:rPr>
        <w:t xml:space="preserve"> S&amp;P Europe 350 Net Total Return Index (SPTR350N Index, FIGI BBG002SSHQ07)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S&amp;P Europe 350 Net Total Return Index (SPTR350N Index; FIGI BBG002SSHQ07) </w:t>
      </w:r>
      <w:r w:rsidR="00000000" w:rsidRPr="00000000" w:rsidDel="00000000">
        <w:rPr>
          <w:rtl w:val="0"/>
        </w:rPr>
        <w:t xml:space="preserve">aizstāj ar indeksu </w:t>
      </w:r>
      <w:r w:rsidR="00000000" w:rsidRPr="00000000" w:rsidDel="00000000">
        <w:rPr>
          <w:i w:val="1"/>
          <w:rtl w:val="0"/>
        </w:rPr>
        <w:t xml:space="preserve">EURO STOXX 50 Net Return EUR (SX5T Index, FIGI BBG000P5MXR4)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indeksu</w:t>
      </w:r>
      <w:r w:rsidR="00000000" w:rsidRPr="00000000" w:rsidDel="00000000">
        <w:rPr>
          <w:i w:val="1"/>
          <w:rtl w:val="0"/>
        </w:rPr>
        <w:t xml:space="preserve"> MSCI ACWI Net Return EUR (NDEEWNR Index, FIGI BBG002T2YBW2)</w:t>
      </w:r>
      <w:r w:rsidR="00000000" w:rsidRPr="00000000" w:rsidDel="00000000">
        <w:rPr>
          <w:rtl w:val="0"/>
        </w:rPr>
        <w:t xml:space="preserve"> aizstāj ar indeksu </w:t>
      </w:r>
      <w:r w:rsidR="00000000" w:rsidRPr="00000000" w:rsidDel="00000000">
        <w:rPr>
          <w:i w:val="1"/>
          <w:rtl w:val="0"/>
        </w:rPr>
        <w:t xml:space="preserve">STOXX World AC (Cap Index) – Net EUR (STXWAR Index; FIGI BBG018C66BS3; ISIN CH0462362093)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STOXX World AC (All Cap Index) - Net  EUR (STXWAR Index; FIGI BBG018C66BS3; ISIN CH0462362093BBG018C66BS3)</w:t>
      </w:r>
      <w:r w:rsidR="00000000" w:rsidRPr="00000000" w:rsidDel="00000000">
        <w:rPr>
          <w:rtl w:val="0"/>
        </w:rPr>
        <w:t xml:space="preserve"> aizstāj ar indeksu </w:t>
      </w:r>
      <w:r w:rsidR="00000000" w:rsidRPr="00000000" w:rsidDel="00000000">
        <w:rPr>
          <w:i w:val="1"/>
          <w:rtl w:val="0"/>
        </w:rPr>
        <w:t xml:space="preserve">STOXX Global TMI (Total Market Index) – Net EUR (TW1R Index; FIGI BBG001J5KTN4; ISIN CH0114207837)</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Virspeļņu – starpību starp DVNP un AIP –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43050" cy="257175"/>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1543050" cy="257175"/>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w:t>
      </w:r>
      <w:r w:rsidR="00000000" w:rsidRPr="00000000" w:rsidDel="00000000">
        <w:rPr>
          <w:vertAlign w:val="subscript"/>
          <w:rtl w:val="0"/>
        </w:rPr>
        <w:t xml:space="preserve">t</w:t>
      </w:r>
      <w:r w:rsidR="00000000" w:rsidRPr="00000000" w:rsidDel="00000000">
        <w:rPr>
          <w:rtl w:val="0"/>
        </w:rPr>
        <w:t xml:space="preserve"> – perioda virspeļņa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DVNP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minēto aprēķinu rezultātu pārvaldītājs noapaļo ar precizitāti līdz septiņām zīmēm aiz komata.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Maksājuma pastāvīgās daļas aprēķins, uzskaite un ieturēšana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fondēto pensiju likumā noteikto maksājuma pastāvīgo daļu ieguldījumu plāna finanšu pārskatos pārvaldītājs uzskaita par katru kalendāra dienu un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838324" cy="371475"/>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1838324" cy="37147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Maksājuma pastāvīgo daļu uzkrāj mēneša laikā, iegūstot kopējo maksājuma pastāvīgās daļas apmēru par kārtējo mēnesi, un aprēķina, summējot par katru aprēķina dienu aprēķināto dienas maksājuma pastāvīgo daļu no kārtējā mēneša sākuma,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76375" cy="542925"/>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1476375" cy="54292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K</w:t>
      </w:r>
      <w:r w:rsidR="00000000" w:rsidRPr="00000000" w:rsidDel="00000000">
        <w:rPr>
          <w:rtl w:val="0"/>
        </w:rPr>
        <w:t xml:space="preserve"> – maksājuma pastāvīgās daļas apmērs par kārtējo mēnesi;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par katru aprēķina dienu;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Maksājuma pastāvīgo daļu par kārtējo mēnesi pārvaldītājs ietur reizi mēnesī.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Maksājuma mainīgās daļas aprēķins, uzskaite un ieturēšana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Maksājuma mainīgās daļas aprēķins ietver no gada sākuma līdz aprēķina dienai (ieskaitot) starprezultātam uzkrāto maksājuma mainīgās daļas maksimālo apmēru, starprezultātam aprēķināto maksājuma mainīgo daļu un ieguldījumu plāna finanšu pārskatos uzskaitīto maksājuma mainīgo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Pārvaldītājs starprezultātam uzkrāto maksājuma mainīgās daļas (MMD) maksimālo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izteiksmē par katru kalendāra dienu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524125" cy="333375"/>
            <wp:effectExtent t="0" b="0" r="0" l="0"/>
            <wp:docPr id="16" name="media/image16.PNG"/>
            <a:graphic>
              <a:graphicData uri="http://schemas.openxmlformats.org/drawingml/2006/picture">
                <pic:pic>
                  <pic:nvPicPr>
                    <pic:cNvPr id="16" name="media/image16.PNG"/>
                    <pic:cNvPicPr/>
                  </pic:nvPicPr>
                  <pic:blipFill>
                    <a:blip r:embed="rId16"/>
                    <a:srcRect/>
                    <a:stretch>
                      <a:fillRect/>
                    </a:stretch>
                  </pic:blipFill>
                  <pic:spPr>
                    <a:xfrm>
                      <a:ext cx="2524125" cy="3333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MK – maksimālais gada maksājums procentos, kurš noteikts saskaņā ar Valsts fondēto pensiju likuma 11. panta 5.</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gada laikā, iegūstot kopējo MMD par kārtējo gadu, ko aprēķina, summējot par katru aprēķina dienu aprēķināto MMD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04925" cy="466724"/>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1304925" cy="466724"/>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katru gadu uzkrāj no jauna. Kārtējā gada pirmajā aprēķina dienā pirms MMD aprēķināšanas MMD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Pārvaldītājs starprezultātam aprēķināto maksājuma mainīgo daļu (AMMD):</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par katru aprēķina dienu;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lielāka par nulli,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3724275" cy="209550"/>
            <wp:effectExtent t="0" b="0" r="0" l="0"/>
            <wp:docPr id="18" name="media/image18.PNG"/>
            <a:graphic>
              <a:graphicData uri="http://schemas.openxmlformats.org/drawingml/2006/picture">
                <pic:pic>
                  <pic:nvPicPr>
                    <pic:cNvPr id="18" name="media/image18.PNG"/>
                    <pic:cNvPicPr/>
                  </pic:nvPicPr>
                  <pic:blipFill>
                    <a:blip r:embed="rId18"/>
                    <a:srcRect/>
                    <a:stretch>
                      <a:fillRect/>
                    </a:stretch>
                  </pic:blipFill>
                  <pic:spPr>
                    <a:xfrm>
                      <a:ext cx="3724275" cy="209550"/>
                    </a:xfrm>
                    <a:prstGeom prst="rect"/>
                    <a:ln/>
                  </pic:spPr>
                </pic:pic>
              </a:graphicData>
            </a:graphic>
          </wp:inline>
        </w:drawing>
      </w:r>
      <w:r w:rsidR="00000000" w:rsidRPr="00000000" w:rsidDel="00000000">
        <w:rPr>
          <w:rtl w:val="0"/>
        </w:rPr>
        <w:t xml:space="preserve">,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VP1d</w:t>
      </w:r>
      <w:r w:rsidR="00000000" w:rsidRPr="00000000" w:rsidDel="00000000">
        <w:rPr>
          <w:vertAlign w:val="subscript"/>
          <w:rtl w:val="0"/>
        </w:rPr>
        <w:t xml:space="preserve">t</w:t>
      </w:r>
      <w:r w:rsidR="00000000" w:rsidRPr="00000000" w:rsidDel="00000000">
        <w:rPr>
          <w:rtl w:val="0"/>
        </w:rPr>
        <w:t xml:space="preserve"> – aprēķina dienas virspeļņa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VP8g</w:t>
      </w:r>
      <w:r w:rsidR="00000000" w:rsidRPr="00000000" w:rsidDel="00000000">
        <w:rPr>
          <w:vertAlign w:val="subscript"/>
          <w:rtl w:val="0"/>
        </w:rPr>
        <w:t xml:space="preserve">t</w:t>
      </w:r>
      <w:r w:rsidR="00000000" w:rsidRPr="00000000" w:rsidDel="00000000">
        <w:rPr>
          <w:rtl w:val="0"/>
        </w:rPr>
        <w:t xml:space="preserve"> – astoņu gadu virspeļņa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gada laikā, iegūstot kopējo AMMD apmēru par kārtējo gadu, ko aprēķina, summējot par katru aprēķina dienu aprēķināto AMMD apmēru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71625" cy="51435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1571625" cy="51435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vienāda ar nulli vai mazāka,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438400" cy="295275"/>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2438400" cy="2952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K,t–1</w:t>
      </w:r>
      <w:r w:rsidR="00000000" w:rsidRPr="00000000" w:rsidDel="00000000">
        <w:rPr>
          <w:rtl w:val="0"/>
        </w:rPr>
        <w:t xml:space="preserve"> – uzkrātais aprēķinātās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uzkrāj no jauna. Kārtējā gada pirmajā aprēķina dienā pirms AMMD aprēķināšanas AMMD apmērs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Pārvaldītājs ieguldījumu plāna finanšu pārskatos uzskaitīto maksājuma mainīgo daļu (UMMD):</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kārtējo gadu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943225" cy="2667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2943225"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rtl w:val="0"/>
        </w:rPr>
        <w:t xml:space="preserve"> – ieguldījumu plāna finanšu pārskatos uzskaitītās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aprēķina dienu gada pirmajā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33525" cy="257175"/>
            <wp:effectExtent t="0" b="0" r="0" l="0"/>
            <wp:docPr id="22" name="media/image22.JPG"/>
            <a:graphic>
              <a:graphicData uri="http://schemas.openxmlformats.org/drawingml/2006/picture">
                <pic:pic>
                  <pic:nvPicPr>
                    <pic:cNvPr id="22" name="media/image22.JPG"/>
                    <pic:cNvPicPr/>
                  </pic:nvPicPr>
                  <pic:blipFill>
                    <a:blip r:embed="rId22"/>
                    <a:srcRect/>
                    <a:stretch>
                      <a:fillRect/>
                    </a:stretch>
                  </pic:blipFill>
                  <pic:spPr>
                    <a:xfrm>
                      <a:ext cx="1533525" cy="2571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citām gada aprēķina dienām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686050" cy="266700"/>
            <wp:effectExtent t="0" b="0" r="0" l="0"/>
            <wp:docPr id="23" name="media/image23.JPG"/>
            <a:graphic>
              <a:graphicData uri="http://schemas.openxmlformats.org/drawingml/2006/picture">
                <pic:pic>
                  <pic:nvPicPr>
                    <pic:cNvPr id="23" name="media/image23.JPG"/>
                    <pic:cNvPicPr/>
                  </pic:nvPicPr>
                  <pic:blipFill>
                    <a:blip r:embed="rId23"/>
                    <a:srcRect/>
                    <a:stretch>
                      <a:fillRect/>
                    </a:stretch>
                  </pic:blipFill>
                  <pic:spPr>
                    <a:xfrm>
                      <a:ext cx="2686050"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gada pēdējā aprēķina dienā DV ir vienāda vai mazāka par katra gada pēdējās aprēķina dienas DV iepriekšējo septiņu gadu periodā pirms kārtējā gada, bet UMMD apmērs par kārtējo gadu ir pozitīvs,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171700" cy="276225"/>
            <wp:effectExtent t="0" b="0" r="0" l="0"/>
            <wp:docPr id="24" name="media/image24.JPG"/>
            <a:graphic>
              <a:graphicData uri="http://schemas.openxmlformats.org/drawingml/2006/picture">
                <pic:pic>
                  <pic:nvPicPr>
                    <pic:cNvPr id="24" name="media/image24.JPG"/>
                    <pic:cNvPicPr/>
                  </pic:nvPicPr>
                  <pic:blipFill>
                    <a:blip r:embed="rId24"/>
                    <a:srcRect/>
                    <a:stretch>
                      <a:fillRect/>
                    </a:stretch>
                  </pic:blipFill>
                  <pic:spPr>
                    <a:xfrm>
                      <a:ext cx="2171700" cy="27622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vertAlign w:val="subscript"/>
          <w:rtl w:val="0"/>
        </w:rPr>
        <w:t xml:space="preserve">,t–1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Maksājuma mainīgo daļu neaprēķina, ja pārvaldītājs saskaņā ar ieguldījumu plāna prospektu līdzekļu ieguldījumus pārvalda, izmantojot pasīvo līdzekļu pārvaldīšanas stratēģiju.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Kopējo maksājuma mainīgās daļas apmēru par kārtējo gadu pārvaldītājs ietur reizi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2018., 2019., 2020., 2021., 2022., 2023., 2024. un 2025. gadā par perioda sākuma dienu aprēķinos, kas veikti par astoņiem gadiem, uzskata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Visiem ieguldījumu plāniem par 2017. gada pēdējo aprēķina dienu nosaka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iepriekšējo septiņu gadu perioda uzskaite tiek uzsākta no 2017. gada 31. decembra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Ieguldījumu plāniem, kas uzsāk darbību pēc šo noteikumu stāšanās spēkā, par perioda sākuma dienu aprēķinos, kas veikti par šo ieguldījumu plānu pirmo astoņu gadu periodu, kā arī aprēķinos, kas veikti šo ieguldījumu plānu darbības pirmajā kalendāra gadā par periodu no gada sākuma, uzskata šo plānu pirmo aprēķina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2014. gada 14. oktobra noteikumus Nr. 615 "Kārtība, kādā valsts fondēto pensiju shēmas līdzekļu pārvaldītājs aprēķina maksājumu par ieguldījumu plāna pārvaldi un tiek veikta maksājuma uzskaite un ieturēšana" (Latvijas Vēstnesis, 2014, 205.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24-TA-1400</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24-TA-1400</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 Target="media/image10.PNG" Type="http://schemas.openxmlformats.org/officeDocument/2006/relationships/image" Id="rId10"/><Relationship Target="media/image11.JPG" Type="http://schemas.openxmlformats.org/officeDocument/2006/relationships/image" Id="rId11"/><Relationship Target="media/image12.PN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PNG" Type="http://schemas.openxmlformats.org/officeDocument/2006/relationships/image" Id="rId16"/><Relationship Target="media/image17.JPG" Type="http://schemas.openxmlformats.org/officeDocument/2006/relationships/image" Id="rId17"/><Relationship Target="media/image18.PNG" Type="http://schemas.openxmlformats.org/officeDocument/2006/relationships/image" Id="rId18"/><Relationship Target="media/image19.JPG" Type="http://schemas.openxmlformats.org/officeDocument/2006/relationships/image" Id="rId19"/><Relationship Target="media/image20.JPG" Type="http://schemas.openxmlformats.org/officeDocument/2006/relationships/image" Id="rId20"/><Relationship Target="media/image21.JPG" Type="http://schemas.openxmlformats.org/officeDocument/2006/relationships/image" Id="rId21"/><Relationship Target="media/image22.JPG" Type="http://schemas.openxmlformats.org/officeDocument/2006/relationships/image" Id="rId22"/><Relationship Target="media/image23.JPG" Type="http://schemas.openxmlformats.org/officeDocument/2006/relationships/image" Id="rId23"/><Relationship Target="media/image24.JPG" Type="http://schemas.openxmlformats.org/officeDocument/2006/relationships/image" Id="rId24"/></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noteikumu_konsolidētā_versija_24-TA-1400.docx</dc:title>
</cp:coreProperties>
</file>

<file path=docProps/custom.xml><?xml version="1.0" encoding="utf-8"?>
<Properties xmlns="http://schemas.openxmlformats.org/officeDocument/2006/custom-properties" xmlns:vt="http://schemas.openxmlformats.org/officeDocument/2006/docPropsVTypes"/>
</file>