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23.februāra instrukcijai Nr.1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instrukcijai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Finanšu pakalpojumi, kurus regulē Eiropas Savienības tiesību akti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Šī instrukcija neattiecas uz finanšu pakalpojumiem, kurus regulē Eiropas Savienības tiesību akti, tai skaitā uz šādiem finanšu pakalpojumiem: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ieguldījumu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apdrošināšanas un pārapdrošināšanas operācijas;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banku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operācijas, kas saistītas ar pensiju fondiem;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pakalpojumi, kas saistīti ar cerības līgumu darījumiem.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instrukcijas_konsolidētā_versija_p2_24-TA-297.docx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