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Braukšanas mācību atļaujas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10.05.2011. noteikumu Nr.361 redakcijā, kas grozīta ar MK 24.04.2012. noteikumiem Nr.296)</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115050" cy="7953374"/>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6115050" cy="7953374"/>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Braukšanas mācību atļaujas (turpmāk - atļauja) priekšpusē (aversā) ir  ievietota šāda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"Braukšanas mācību atļauja" - dokumenta nosaukums latviešu, angļu un  franču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"Latvijas Republika" - valsts (kas izdevusi atļauju) nosaukums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atļaujas īpašnieka uzvārds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atļaujas īpašnieka vārds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atļaujas īpašnieka personas kods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atļaujas īpašnieka paraksts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atļaujas izdošanas vieta un datums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atļaujas derīguma termiņa beigu datums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papildinformācijas vai ierobežojumu kods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norāde, kādu kategoriju transportlīdzekļus atļauts mācīties vadīt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atļaujas īpašnieka digitālā fotogrāfija, kuru izgatavo CSDD.  Fotogrāfija atbilst normatīvajos aktos par personu apliecinošajiem dokumentiem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atļaujas sērija un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Atļaujas aizmugurē (reversā) ir ievietota šāda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atļaujas lietošanas noteikumu skaidrojums latviešu valodā "Šis dokuments  apliecina tiesības mācīties vadīt tā priekšpusē norādītās kategorijas  transportlīdzekļus. Mācību braucieni (izņemot braucienus norobežotos laukumos)  drīkst notikt tikai apmācītāja klātbūtnē";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atļaujas lietošanas noteikumu skaidrojums angļu valodā "The present  document authorises to learn driving of the vehicle categories mentioned on the  other side. Driving exercises on road are allowed only under the supervision of  the driving instructor";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"LV" - valsts (kas izdevusi atļauju) atšķirības 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Atļaujas kartes fiziskās īpašības atbilst standartiem LVS ISO/IEC  7810:2011 ''Identifikācijas kartes. Fizikālās īpašības" un LVS ISO/IEC 7816-1  "Identifikācijas kartes – Kontaktu mikroshēmu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Atļauju izgatavo no polikarbonāta.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pārbaudītu atļauju parametru atbilstību starptautiskiem standartiem,  lieto metodes saskaņā ar standartu LVS ISO/IEC 10373-2006 "Identifikācijas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Materiālu, ko lieto atļaujām, nodrošina pret viltojumiem, izmantojot  vismaz šādus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kartes pazīmes skaidri izceļas ultravioletajā apgaismojumā;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fona drošības raksts izstrādāts tā, lai tas nebūtu viltojams skenējot,  drukājot vai kopējot, izmantojot varavīksnes druku ar vairāktoņu drošības krāsām  un pozitīvu un negatīvu </w:t>
      </w:r>
      <w:r w:rsidR="00000000" w:rsidRPr="00000000" w:rsidDel="00000000">
        <w:rPr>
          <w:i w:val="1"/>
          <w:rtl w:val="0"/>
        </w:rPr>
        <w:t xml:space="preserve">Guilloche</w:t>
      </w:r>
      <w:r w:rsidR="00000000" w:rsidRPr="00000000" w:rsidDel="00000000">
        <w:rPr>
          <w:rtl w:val="0"/>
        </w:rPr>
        <w:t xml:space="preserve"> rakstu. Rakstu neveido pamatkrāsas (</w:t>
      </w:r>
      <w:r w:rsidR="00000000" w:rsidRPr="00000000" w:rsidDel="00000000">
        <w:rPr>
          <w:i w:val="1"/>
          <w:rtl w:val="0"/>
        </w:rPr>
        <w:t xml:space="preserve">CMYK</w:t>
      </w:r>
      <w:r w:rsidR="00000000" w:rsidRPr="00000000" w:rsidDel="00000000">
        <w:rPr>
          <w:rtl w:val="0"/>
        </w:rPr>
        <w:t xml:space="preserve">),  tajā ir sarežģīti raksti vismaz divās īpašās krāsās, un raksts satur mikrotekstu;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w:t>
      </w:r>
      <w:r w:rsidR="00000000" w:rsidRPr="00000000" w:rsidDel="00000000">
        <w:rPr>
          <w:sz w:val="18"/>
          <w:rtl w:val="0"/>
        </w:rPr>
        <w:t xml:space="preserve">(svītrots ar MK 24.04.2012. noteikumiem Nr.296)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personalizācija ar lāzergravēšanu;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apliecības īpašnieka fotogrāfijas vietā fona pretviltošanas druka un  fotoattēls pārklājas vismaz fotoattēla malās (rakstam jābūt blāvākam).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23-TA-2723</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23-TA-2723</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noteikumu_konsolidētā_versija_p2_23-TA-2723.docx</dc:title>
</cp:coreProperties>
</file>

<file path=docProps/custom.xml><?xml version="1.0" encoding="utf-8"?>
<Properties xmlns="http://schemas.openxmlformats.org/officeDocument/2006/custom-properties" xmlns:vt="http://schemas.openxmlformats.org/officeDocument/2006/docPropsVTypes"/>
</file>