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19. septembra noteikumos Nr. 560 "Noteikumi par kvalificēta un kvalificēta paaugstinātas drošības elektroniskās identifikācijas pakalpojuma sniedzēja un tā sniegtā pakalpojuma tehniskajām un organizatoriskajām prasībām"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Fizisko personu</w:t>
      </w:r>
      <w:r>
        <w:br/>
      </w:r>
      <w:r w:rsidR="00000000" w:rsidRPr="00000000" w:rsidDel="00000000">
        <w:rPr>
          <w:rStyle w:val="paragraph"/>
          <w:i w:val="1"/>
          <w:rtl w:val="0"/>
        </w:rPr>
        <w:t xml:space="preserve">elektroniskās identifikācijas likuma</w:t>
      </w:r>
      <w:r w:rsidR="00000000" w:rsidRPr="00000000" w:rsidDel="00000000">
        <w:rPr>
          <w:rStyle w:val="paragraph"/>
          <w:i w:val="1"/>
          <w:rtl w:val="0"/>
        </w:rPr>
        <w:t xml:space="preserve"> 13.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19. septembra noteikumos Nr. 560 "Noteikumi par kvalificēta un kvalificēta paaugstinātas drošības elektroniskās identifikācijas pakalpojuma sniedzēja un tā sniegtā pakalpojuma tehniskajām un organizatoriskajām prasībām" (Latvijas Vēstnesis, 2017, 188.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Papildus šo noteikumu 7. punktā norādītajām prasībām kvalificēts elektroniskās identifikācijas līdzeklis atbilst Komisijas 2015. gada 8. septembra Īstenošanas regulas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 (turpmāk – īstenošanas regula Nr. 2015/1502), tehniskajām prasībām, kas noteiktas elektroniskās identifikācijas līdzekļiem ar vismaz būtisku uzticamības līmeni. Minētās prasības ir piemērojamas tiktāl, ciktāl šajos noteikumos nav noteiktas stingrākas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informāciju, ko tas satur, glabā aizsargātā tehniskā modulī, kas atbilst Eiropas Parlamenta un Padomes 2014. gada 23. jūlija Regulas (ES) Nr. 910/2014 par elektronisko identifikāciju un uzticamības pakalpojumiem elektronisko darījumu veikšanai iekšējā tirgū un ar ko atceļ Direktīvu 1999/93/EK, sadarbības tīkla ekspertu izstrādātajām vadlīnijām;";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kvalificēts paaugstinātās drošības elektroniskās identifikācijas līdzeklis atbilst īstenošanas regulas Nr. 2015/1502 tehniskajām prasībām, kas noteiktas elektroniskās identifikācijas līdzekļiem ar augstu uzticamības līmeni. Minētās prasības ir piemērojamas tiktāl, ciktāl šajos noteikumos nav noteiktas stingrākas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31.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22-TA-3706</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22-TA-3706</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noteikumu_(grozījumu)_projekts_22-TA-3706.docx</dc:title>
</cp:coreProperties>
</file>

<file path=docProps/custom.xml><?xml version="1.0" encoding="utf-8"?>
<Properties xmlns="http://schemas.openxmlformats.org/officeDocument/2006/custom-properties" xmlns:vt="http://schemas.openxmlformats.org/officeDocument/2006/docPropsVTypes"/>
</file>