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(Latvijas Vēstnesis, 2023, 32., 136. nr.; 2025, 71.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Rīgas pilsētā – vismaz 4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Rīgas pilsētā – vismaz 4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Mārupes novadā – vismaz 2,5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Rīga–Mārupe, tai skaitā Mārupes novadā, – vismaz 6,5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"37.15. projekta īstenošanas ietvaros noslēguma maksājuma pieprasījumam var piesaistīt neatkarīgu revidentu vai iekšējo auditoru, lai apliecinātu projekta izmaksu atbilstību šo noteikumu 28. punktā minētajām attiecināmajām izmaksām un mērķa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Aģentūra, pamatojoties uz finansējuma saņēmēja noslēguma maksājuma pieprasījumu, izmaksā finansējuma saņēmējam finansējumu par faktiski veiktajām projekta attiecināmajām izmaksām, ja ir sasniegts projekta mērķis. Finansējuma saņēmējs noslēguma maksājuma pieprasījuma dokumentācijai pievieno apliecinājumu par jaunas izbūvētas un pārbūvētas veloceļu infrastruktūras nodošanu ekspluatācijā."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26-TA-773</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26-TA-773</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noteikumu_(grozījumu)_projekts_26-TA-773.docx</dc:title>
</cp:coreProperties>
</file>

<file path=docProps/custom.xml><?xml version="1.0" encoding="utf-8"?>
<Properties xmlns="http://schemas.openxmlformats.org/officeDocument/2006/custom-properties" xmlns:vt="http://schemas.openxmlformats.org/officeDocument/2006/docPropsVTypes"/>
</file>