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savienības konstitūcijas Vienpadsmito papildprotokolu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2021. gada 26. augustā parakstītais Pasaules Pasta savienības konstitūcijas Vienpadsmitais papildprotokols (turpmāk – Konstitūcijas Vienpadsmitais papildprotokols)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Konstitūcijas Vienpadsmitajā papildprotokolā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Konstitūcijas Vienpadsmitais papildprotokols stājas spēkā tā XVIII pantā noteiktajā laikā un kārtībā, un Ārlietu ministrija par to paziņo oficiālajā izdevumā “Latvijas Vēstnesis”. Līdz ar likumu izsludināms Konstitūcijas Vienpadsmitais papildprotokols angļu valodā un tā tulkojums latviešu valodā.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21-TA-1174</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21-TA-1174</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likumprojekts_21-TA-1174.docx</dc:title>
</cp:coreProperties>
</file>

<file path=docProps/custom.xml><?xml version="1.0" encoding="utf-8"?>
<Properties xmlns="http://schemas.openxmlformats.org/officeDocument/2006/custom-properties" xmlns:vt="http://schemas.openxmlformats.org/officeDocument/2006/docPropsVTypes"/>
</file>