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 – 2027. gadam 4.1.1. specifiskā atbalsta mērķa "Nodrošināt vienlīdzīgu piekļuvi veselības aprūpei un stiprināt veselības sistēmu, tostarp primārās veselības aprūpes noturību" 4.1.1.1. pasākuma "Ārstniecības iestāžu infrastruktūras attīstība", 4.1.1.2. pasākuma "P.Stradiņa klīniskās universitātes slimnīcas infrastruktūras attīstība" un 4.1.1.5. pasākuma “Neatliekamās medicīniskās palīdzības dienesta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(turpmāk – ES) Kohēzijas politikas programmas 2021. – 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(turpmāk – 4.1.1.1. pasākums), 4.1.1.2. pasākuma "P.Stradiņa klīniskās universitātes slimnīcas infrastruktūras attīstība" (turpmāk – 4.1.1.2. pasākums) un 4.1.1.5 pasākuma “Neatliekamās medicīniskās palīdzības dienesta attīstība” (turpmāk – 4.1.1.5. pasākums), (turpmāk visi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iesniedzējiem,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izmaksu attiecināmības nosacījumus, tostarp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projektu iesniegumu atlases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sadarbības iestādes funkcijas pilda, piešķir komercdarbības atbalstu un slēdz līgumu par projekta īstenošanu Centrālā finanšu un līgumu aģentūra (turpmāk – sadarbības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Pasākuma mērķis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mērķis ir nodrošināt vienlīdzīgu piekļuvi veselības aprūpei un stiprināt veselības sistēmu, attīstot veselības aprūpes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ir visi Latvijas iedzīvotāji, veselības aprūpes pakalpojumu sniedzēji, Veselības ministrijas padotības iestādes,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iznākuma rādītājs ir jaunu vai modernizētu veselības aprūpes iestāžu kapacitāte - līdz 2029. gada 31. decembrim sasniedzot, ka pasākuma ietvaros izveidoto vai uzlaboto veselības aprūpes iestādi vismaz vienu reizi gada laikā apmeklēs 4 266 306 iedzīvotāji.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specifiskais iznākuma rādītājs ir noslēgto līgumu īpatsvars par ieguldījumiem veselības aprūpes infrastruktūras objektos - līdz 2029. gada 31.decembrim sasniedzot, ka pasākuma ietvaros noslēgti līgumi vai vienošanās par projektu īstenošanu 100 procentu apmērā no visiem ieguldījumiem, tai skaitā nodrošinot, ka uz 2024. gada 31. decembri būs noslēgti līgumi vai vienošanās par projektu īstenošanu vismaz par 10 procentiem no pasākumiem pieejamā kopējā attiecināmā finansējuma, kas ietver ES fondu finansējumu un nacionālo līdzfinansējumu.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rezultāta rādītājs ir personu skaits, kuras izmanto jaunu vai modernizētu veselības aprūpes iestāžu pakalpojumus, skaits gadā - līdz 2029. gada 31. decembrim sasniedzot vērtību 3 878 460 lietotāju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4.1.1.5. pasākuma specifiskais iznākuma rādītājs ir Neatliekamās medicīniskās palīdzības pakalpojumu sniegšanas efektivitātes uzlabošana, izveidojot 3 brigāžu atbalsta centrus tuvāk pakalpojumu saņēmējiem reģionos.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4.1.1.1. pasākuma plānotais un pieejamais kopējais finansējums ir 80 397 986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68 338 288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12 059 698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4.1.1.2. pasākuma ietvaros plānotais kopējais finansējums ir 151 185 240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128 507 454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22 677 786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iesniegumā 4.1.1.2. pasākuma īstenošanai kopējo 4.1.1.2.pasākuma projekta pieejamo finansējumu plāno ne vairāk kā 104 502 947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finansējumu 88 827 505 </w:t>
      </w:r>
      <w:r w:rsidR="00000000" w:rsidRPr="00000000" w:rsidDel="00000000">
        <w:rPr>
          <w:i w:val="1"/>
          <w:rtl w:val="0"/>
        </w:rPr>
        <w:t xml:space="preserve">euro</w:t>
      </w:r>
      <w:r w:rsidR="00000000" w:rsidRPr="00000000" w:rsidDel="00000000">
        <w:rPr>
          <w:rtl w:val="0"/>
        </w:rPr>
        <w:t xml:space="preserve"> apmērā un nacionālo finansējumu, kas iekļauj valsts budžeta un privāto finansējumu, 15 675 442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Saskaņā ar Eiropas Parlamenta un Padomes 2021. gada 24. jūnija regulas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Nr.2021/1060) 18. un 86. pantā noteikto 4.1.1.2. pasākuma ietvaros atbildīgā iestāde pēc Eiropas Komisijas lēmuma par vidusposma pārskatu var ierosināt palielināt 4.1.1.2. pasākumam pieejamo kopējo finansējumu līdz šo noteikumu </w:t>
      </w:r>
      <w:r w:rsidR="00000000" w:rsidRPr="00000000" w:rsidDel="00000000">
        <w:rPr>
          <w:rtl w:val="0"/>
        </w:rPr>
        <w:t xml:space="preserve">13.</w:t>
      </w:r>
      <w:r w:rsidR="00000000" w:rsidRPr="00000000" w:rsidDel="00000000">
        <w:rPr>
          <w:rtl w:val="0"/>
        </w:rPr>
        <w:t xml:space="preserve"> punktā minētajam plānotajam kopējam finansējuma apmēram.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4.1.1.5. pasākuma ietvaros plānotais un pieejamais kopējais finansējums ir 12 307 060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10 461 001 </w:t>
      </w:r>
      <w:r w:rsidR="00000000" w:rsidRPr="00000000" w:rsidDel="00000000">
        <w:rPr>
          <w:i w:val="1"/>
          <w:rtl w:val="0"/>
        </w:rPr>
        <w:t xml:space="preserve">euro</w:t>
      </w:r>
      <w:r w:rsidR="00000000" w:rsidRPr="00000000" w:rsidDel="00000000">
        <w:rPr>
          <w:rtl w:val="0"/>
        </w:rPr>
        <w:t xml:space="preserve"> un nacionālais valsts budžeta finansējums ir 1 846 059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Pasākuma attiecināmais Eiropas Reģionālās attīstības fonda finansējums nepārsniedz 85 procentus, nacionālā finansējuma valsts budžeta finansējums nepārsniedz 15 procentus no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 </w:t>
      </w:r>
      <w:r w:rsidR="00000000" w:rsidRPr="00000000" w:rsidDel="00000000">
        <w:rPr>
          <w:rtl w:val="0"/>
        </w:rPr>
        <w:t xml:space="preserve">un </w:t>
      </w:r>
      <w:r w:rsidR="00000000" w:rsidRPr="00000000" w:rsidDel="00000000">
        <w:rPr>
          <w:rtl w:val="0"/>
        </w:rPr>
        <w:t xml:space="preserve">16.</w:t>
      </w:r>
      <w:r w:rsidR="00000000" w:rsidRPr="00000000" w:rsidDel="00000000">
        <w:rPr>
          <w:rtl w:val="0"/>
        </w:rPr>
        <w:t xml:space="preserve"> punktā minētā pasākumam pieejamā kopējā publiskā finansējuma. Attiecināmais nacionālais privātais līdzfinansējums katram projektam tiek noteikts saskaņā ar šo noteikumu </w:t>
      </w:r>
      <w:r w:rsidR="00000000" w:rsidRPr="00000000" w:rsidDel="00000000">
        <w:rPr>
          <w:rtl w:val="0"/>
        </w:rPr>
        <w:t xml:space="preserve">43.</w:t>
      </w:r>
      <w:r w:rsidR="00000000" w:rsidRPr="00000000" w:rsidDel="00000000">
        <w:rPr>
          <w:rtl w:val="0"/>
        </w:rPr>
        <w:t xml:space="preserve">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Komercdarbības 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Komercdarbības atbalstu piešķir saskaņā ar Komisijas lēmumu (2012/21/ES) par Līguma par ES darbību 106. panta 2. punkta piemērošanu valsts atbalstam attiecībā uz kompensāciju par sabiedriskajiem pakalpojumiem dažiem uzņēmumiem, kuriem uzticēts sniegt pakalpojumus ar vispārēju tautsaimniecisku nozīmi (turpmāk – Eiropas Komisijas lēmums Nr. 2012/21/ES).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Finansējuma saņēmējs atbilstoši normatīvajiem aktiem veselības aprūpes organizēšanas un samaksas jomā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sabiedrisko pakalpojumu sniedzējam piešķirtās ekskluzīvās vai īpašās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Eiropas Komisijas lēmumu Nr. 2012/21/ES.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Finansējuma saņēmējs projektam pievieno vispārējas tautsaimnieciskas nozīmes pakalpojuma sniegšanas pilnvarojuma uzlicēja apliecinājumu, ka tas kontrolēs un pārskatīs šo noteikumu </w:t>
      </w:r>
      <w:r w:rsidR="00000000" w:rsidRPr="00000000" w:rsidDel="00000000">
        <w:rPr>
          <w:rtl w:val="0"/>
        </w:rPr>
        <w:t xml:space="preserve">19.6.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ievērojot Eiropas Komisijas lēmumā Nr. 2012/21/ES noteikto pārbaužu regularitāti, bet ne retāk kā reizi trijos gados un pilnvarojuma akta darbības perioda beigās.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atbalsta sniedzējam visu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atbalsta sniedzējam ir pienākums dokumentāciju, kas saistīta ar komercdarbības atbalsta piešķiršanu, glabāt 10 gadus no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 komercdarbības atbalstu drīkst kumulēt ar citu komercdarbības atbalstu, kas sniegts saskaņā ar Eiropas Komisijas lēmumu Nr. 2012/21/ES, citas atbalsta programmas vai individuālā atbalsta projekta ietvaros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Par komercdarbības atbalsta piešķiršanas dienu ir uzskatāma diena, kad sadarbības iestāde sniedz atzinumu par projekta apstiprināšanu vai projekta apstiprināšanu ar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pielikumā</w:t>
      </w:r>
      <w:r w:rsidR="00000000" w:rsidRPr="00000000" w:rsidDel="00000000">
        <w:rPr>
          <w:rtl w:val="0"/>
        </w:rPr>
        <w:t xml:space="preserve"> 1.13. apakšpunktā minētajam 4.1.1.1. pasākuma finansējuma saņēmējam un 4.1.1.5. pasākuma ietvaros atbalsts tiek sniegts deleģētās valsts funkcijas nodrošināšanai un tas nav kvalificējams kā komercdarbības atbalsts. Finansējuma saņēmējs valsts deleģētās funkcijas īstenošanai paredzētās darbības un izmaksas nodala no citiem pakalpojumiem (tostarp maksas pakalpojumiem).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pasākuma ietvaros ir ārstniecības iestādes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iesnieguma vērtēšanas komisijā sadarbības iestāde iekļauj arī pārstāvi no atbildīgās iestādes un Nacionālā veselības dienesta.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Sadarbības iestāde 4.1.1.1. pasākuma projektu iesniegumu atlases ietvaros organizē ierobežotu projektu iesniegumu atlasi, ne vēlāk kā viena mēneša laikā pēc šo noteikumu spēkā stāšanās, uzaicinot tajā piedalīties šo noteikumu </w:t>
      </w:r>
      <w:r w:rsidR="00000000" w:rsidRPr="00000000" w:rsidDel="00000000">
        <w:rPr>
          <w:rtl w:val="0"/>
        </w:rPr>
        <w:t xml:space="preserve">pielikuma</w:t>
      </w:r>
      <w:r w:rsidR="00000000" w:rsidRPr="00000000" w:rsidDel="00000000">
        <w:rPr>
          <w:rtl w:val="0"/>
        </w:rPr>
        <w:t xml:space="preserve"> 1. punktā minētos projekta iesniedzējus.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4.1.1.2. projektu iesniegumu atlases ietvaros organizē ierobežotu projektu iesniegumu atlasi, ne vēlāk kā divu mēnešu laikā pēc šo noteikumu spēkā stāšanās, uzaicinot tajā piedalīties šo noteikumu </w:t>
      </w:r>
      <w:r w:rsidR="00000000" w:rsidRPr="00000000" w:rsidDel="00000000">
        <w:rPr>
          <w:rtl w:val="0"/>
        </w:rPr>
        <w:t xml:space="preserve">pielikuma</w:t>
      </w:r>
      <w:r w:rsidR="00000000" w:rsidRPr="00000000" w:rsidDel="00000000">
        <w:rPr>
          <w:rtl w:val="0"/>
        </w:rPr>
        <w:t xml:space="preserve"> 2. punktā minēto projekta iesniedzēju.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Sadarbības iestāde 4.1.1.5. pasākuma projektu iesniegumu atlases ietvaros organizē ierobežotu projektu iesniegumu atlasi, ne vēlāk kā divu mēnešu laikā pēc šo noteikumu spēkā stāšanās, uzaicinot tajā piedalīties šo noteikumu </w:t>
      </w:r>
      <w:r w:rsidR="00000000" w:rsidRPr="00000000" w:rsidDel="00000000">
        <w:rPr>
          <w:rtl w:val="0"/>
        </w:rPr>
        <w:t xml:space="preserve">pielikuma</w:t>
      </w:r>
      <w:r w:rsidR="00000000" w:rsidRPr="00000000" w:rsidDel="00000000">
        <w:rPr>
          <w:rtl w:val="0"/>
        </w:rPr>
        <w:t xml:space="preserve"> 3. punktā minēto projekta iesniedzēju.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Pasākuma atbalstāmās darbības un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pasākuma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un publicitātes pasākumu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 minētās atbalstāmās darbības ietvaros ir attiecināmas finansējuma saņēmēja projekta vadības personāla atlīdzības izmaksas, kas radušās uz darba līguma vai uzņēmuma (pakalpojuma) līguma pamata, tai skaitā normatīvajos aktos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tiešās attiecināmās izmaksas ir 5 000 000 </w:t>
      </w:r>
      <w:r w:rsidR="00000000" w:rsidRPr="00000000" w:rsidDel="00000000">
        <w:rPr>
          <w:i w:val="1"/>
          <w:rtl w:val="0"/>
        </w:rPr>
        <w:t xml:space="preserve">euro</w:t>
      </w:r>
      <w:r w:rsidR="00000000" w:rsidRPr="00000000" w:rsidDel="00000000">
        <w:rPr>
          <w:rtl w:val="0"/>
        </w:rPr>
        <w:t xml:space="preserve"> vai lielākas – nepārsniedzot 56 580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tiešās attiecināmās izmaksas ir mazākas par 5 000 000 </w:t>
      </w:r>
      <w:r w:rsidR="00000000" w:rsidRPr="00000000" w:rsidDel="00000000">
        <w:rPr>
          <w:i w:val="1"/>
          <w:rtl w:val="0"/>
        </w:rPr>
        <w:t xml:space="preserve">euro</w:t>
      </w:r>
      <w:r w:rsidR="00000000" w:rsidRPr="00000000" w:rsidDel="00000000">
        <w:rPr>
          <w:rtl w:val="0"/>
        </w:rPr>
        <w:t xml:space="preserve">, ierobežojumu aprēķina ar minimālo izmaksu bāzi 24 426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apakšpunktā minētās atbalstāmās darbības ietvaros ir attiecināmas šādas ar būvdarbiem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būvprojekta minimālā sastāvā un būvprojekta izstrādes izmaksas, projekta ekspertīžu izmaksas, autoruzraudzības un būvuzraudzības izmaksas un būvniecības jomu regulējošos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izmaksas, tajā skaitā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apakšpunktā minētās atbalstāmās darbības ietvaros ir attiecināmas šādas ārstniecības procesam tieši nepieciešamo tehnoloģiju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4.1.1.5 pasākuma ietvaros ir atbalstāmas tehniskā nodrošinājuma iegādes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Projektā attiecinot medicīnisko tehnoloģiju,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Veselības ministrijas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w:t>
      </w:r>
      <w:r w:rsidR="00000000" w:rsidRPr="00000000" w:rsidDel="00000000">
        <w:rPr>
          <w:rtl w:val="0"/>
        </w:rPr>
        <w:t xml:space="preserve"> apakšpunktā minētā atbalstāmā darbība ietver informācijas un publicitātes nodrošināšanas izmaksas atbilstoši regulas Nr.2021/1060 47. un 50. pantā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minēto atbalstāmo darbību īstenošanai ir attiecināmas neparedzētās izmaksas līdz diviem procentiem no projekta kopējām tiešajām attiecināmajām izmaksām, ko projekta iesniegumā plāno kā vienu izmaksu pozīciju un izmanto papildu īstenošanas izmaksu segšanai, kas neparedzamu apstākļu dēļ ir kļuvušas nepieciešamas projekta īstenošanai.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apakšpunktā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w:t>
      </w:r>
      <w:r w:rsidR="00000000" w:rsidRPr="00000000" w:rsidDel="00000000">
        <w:rPr>
          <w:rtl w:val="0"/>
        </w:rPr>
        <w:t xml:space="preserve"> apakšpunktā minētās izmaksas veido projekta tiešās attiecināmās personāla atlīdzības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un </w:t>
      </w:r>
      <w:r w:rsidR="00000000" w:rsidRPr="00000000" w:rsidDel="00000000">
        <w:rPr>
          <w:rtl w:val="0"/>
        </w:rPr>
        <w:t xml:space="preserve">32.4.</w:t>
      </w:r>
      <w:r w:rsidR="00000000" w:rsidRPr="00000000" w:rsidDel="00000000">
        <w:rPr>
          <w:rtl w:val="0"/>
        </w:rPr>
        <w:t xml:space="preserve"> apakšpunktā minētās izmaksas veido projekta pārējās tiešās attiecināmās izmaksas. Šīs piegāžu un pakalpojumu izmaksas ir attiecināmas, ja tās radušās, ievērojot publisko iepirkumu jomu regulējošos normatīvos aktus, izņemot šo noteikumu </w:t>
      </w:r>
      <w:r w:rsidR="00000000" w:rsidRPr="00000000" w:rsidDel="00000000">
        <w:rPr>
          <w:rtl w:val="0"/>
        </w:rPr>
        <w:t xml:space="preserve">34.1.</w:t>
      </w:r>
      <w:r w:rsidR="00000000" w:rsidRPr="00000000" w:rsidDel="00000000">
        <w:rPr>
          <w:rtl w:val="0"/>
        </w:rPr>
        <w:t xml:space="preserve"> apakšpunktā minētās būvuzraudzības izmaksas, kuras ir saistītas ar projekta vadības un īstenošanas atlīdzības izmaksām un var tikt attiecinātas arī kā projekta tiešās personāla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minēto atbalstāmo darbību īstenošanai ir attiecināmas projekta netiešās attiecināmās izmaksas, ko projekta iesniegumā plāno kā vienu izmaksu pozīciju, piemērojot netiešo izmaksu vienoto likmi 15 procentu apmērā no šo noteikumu </w:t>
      </w:r>
      <w:r w:rsidR="00000000" w:rsidRPr="00000000" w:rsidDel="00000000">
        <w:rPr>
          <w:rtl w:val="0"/>
        </w:rPr>
        <w:t xml:space="preserve">32.1.</w:t>
      </w:r>
      <w:r w:rsidR="00000000" w:rsidRPr="00000000" w:rsidDel="00000000">
        <w:rPr>
          <w:rtl w:val="0"/>
        </w:rPr>
        <w:t xml:space="preserve"> apakšpunktā minētajām tiešajām personāla atlīdzības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tās ir radušās ne agrāk kā par 2021. gada 1. decembri.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Pasākuma 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32.</w:t>
      </w:r>
      <w:r w:rsidR="00000000" w:rsidRPr="00000000" w:rsidDel="00000000">
        <w:rPr>
          <w:rtl w:val="0"/>
        </w:rPr>
        <w:t xml:space="preserve"> punktu finansējuma saņēmējs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19275" cy="6858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19275" cy="685800"/>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66899" cy="6762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866899" cy="67627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infrastruktūras izmantošanas proporciju iesniedz sadarbības iestādei: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iesniedzot projekta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pēc līguma par projekta īstenošanu noslēgšanas palielinās projekta publisko izmaksu maksimālais apmērs, kas aprēķināts saskaņā ar šo noteikumu </w:t>
      </w:r>
      <w:r w:rsidR="00000000" w:rsidRPr="00000000" w:rsidDel="00000000">
        <w:rPr>
          <w:rtl w:val="0"/>
        </w:rPr>
        <w:t xml:space="preserve">43.1.</w:t>
      </w:r>
      <w:r w:rsidR="00000000" w:rsidRPr="00000000" w:rsidDel="00000000">
        <w:rPr>
          <w:rtl w:val="0"/>
        </w:rPr>
        <w:t xml:space="preserve"> apakšpunktu,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iesniedzot projekta noslēguma maksājuma pieprasījumu, nodrošina, ka saskaņā ar šo noteikumu </w:t>
      </w:r>
      <w:r w:rsidR="00000000" w:rsidRPr="00000000" w:rsidDel="00000000">
        <w:rPr>
          <w:rtl w:val="0"/>
        </w:rPr>
        <w:t xml:space="preserve">43.1.</w:t>
      </w:r>
      <w:r w:rsidR="00000000" w:rsidRPr="00000000" w:rsidDel="00000000">
        <w:rPr>
          <w:rtl w:val="0"/>
        </w:rPr>
        <w:t xml:space="preserve"> apakšpunktu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minēto nacionālo privāto finansējumu.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Pasākuma ietvaros kā stratēģiski svarīgs projekts noteikts šo noteikumu </w:t>
      </w:r>
      <w:r w:rsidR="00000000" w:rsidRPr="00000000" w:rsidDel="00000000">
        <w:rPr>
          <w:rtl w:val="0"/>
        </w:rPr>
        <w:t xml:space="preserve">pielikumā</w:t>
      </w:r>
      <w:r w:rsidR="00000000" w:rsidRPr="00000000" w:rsidDel="00000000">
        <w:rPr>
          <w:rtl w:val="0"/>
        </w:rPr>
        <w:t xml:space="preserve"> norādītais valsts sabiedrības ar ierobežotu atbildību "Paula Stradiņa klīniskā universitātes slimnīca" projekts, kura ietvaros ne retāk kā reizi pusgadā tiek organizēti komunikācijas pasākumi par projekta aktualitātēm, ne mazāk kā piecas darbdienas pirms pasākuma informējot sadarbības iestādi un atbildīgo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32.4.</w:t>
      </w:r>
      <w:r w:rsidR="00000000" w:rsidRPr="00000000" w:rsidDel="00000000">
        <w:rPr>
          <w:rtl w:val="0"/>
        </w:rPr>
        <w:t xml:space="preserve"> apakšpunktā minētos informācijas un publicitātes pasākumus saskaņā ar Regulas Nr. 2021/1060 47. pantu un 50. pantu un normatīvajiem aktiem par Eiropas Savienības fondu ieviešanu 2021.–2027. gada plānošanas periodā, kā arī ievēro saistītās komunikācijas un dizaina vadlīnijas.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uzkrāj datus par horizontālā principa "Vienlīdzība, iekļaušana, nediskriminācija un pamattiesību ievērošana” šādiem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skaits, kuros Eiropas Reģionālās attīstības fonda ieguldījumu rezultātā ir nodrošināta vides un informācijas pieejamība". Finansējuma saņēmējam ir pienākums sniegt minēto informāciju, iesniedzot pēdējo maksājuma pieprasījumu par visu projekta periodu;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veiktā vides un informācijas piekļūstamības pašnovērtējuma rezultāts, atbilstoši Labklājības ministrijas izstrādātajai metodikai un pašnovērtējumā iegūtais punktu skaits, aizpildot vides pieejamības pašnovērtējuma anketu (</w:t>
      </w:r>
      <w:r w:rsidR="00000000" w:rsidRPr="00000000" w:rsidDel="00000000">
        <w:rPr>
          <w:rtl w:val="0"/>
        </w:rPr>
        <w:t xml:space="preserve">https://www.lm.gov.lv/lv/vides-un-informacijas-pieklustamibas-pasnovertejums-saskana-ar-lbn-200-21</w:t>
      </w:r>
      <w:r w:rsidR="00000000" w:rsidRPr="00000000" w:rsidDel="00000000">
        <w:rPr>
          <w:rtl w:val="0"/>
        </w:rPr>
        <w:t xml:space="preserve">). Finansējuma saņēmējam ir pienākums sniegt minēto informāciju, iesniedzot pēdējo maksājuma pieprasījumu par visu projekta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sedz projekta sadārdzinājumu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projekta ietekmi uz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 minētajiem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Īstenojot projektu, finansējuma saņēmējs atbilstoši Regulas Nr. 2021/1060 9. panta 4. punktam un Eiropas Parlamenta un Padomes 2020. gada 18. jūnija Regulas (ES) 2020/852 par regulējuma izveidi ilgtspējīgu ieguldījumu veicināšanai un ar kuru groza Regulu (ES) 2019/2088, 17. pantam nodrošina, ka tiek ievēroti šādi principa "Nenodarīt būtisku kaitējumu" vides mērķi: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veic atklātā, pārredzamā, nediskriminējošā un konkurenci nodrošinošā, sociāli atbildīgā veidā un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pasākuma ietvaros īstenojamo projekta kopējās attiecināmās izmaksas pārsniedz 3 000 000 </w:t>
      </w:r>
      <w:r w:rsidR="00000000" w:rsidRPr="00000000" w:rsidDel="00000000">
        <w:rPr>
          <w:i w:val="1"/>
          <w:rtl w:val="0"/>
        </w:rPr>
        <w:t xml:space="preserve">euro</w:t>
      </w:r>
      <w:r w:rsidR="00000000" w:rsidRPr="00000000" w:rsidDel="00000000">
        <w:rPr>
          <w:rtl w:val="0"/>
        </w:rPr>
        <w:t xml:space="preserve">, finansējuma saņēmējs projektu plānošanai un īstenošanas kontrolei izveido vadības un kontroles komisiju un reizi ceturksnī organizē pārskata sanāksmes par projektu progresu, uz kurām uzaicina atbildīgās iestādes un sadarbības iestādes pārstāvjus.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Finansējuma saņēmējs nodrošina, ka atbalsts ne mazāk kā 30 procentu apmērā tiek ieguldīts infrastruktūras attīstībai, kurā tiek nodrošināti sekundārie ambulatorie veselības aprūpes pakalpojumi, kā arī attiecīgi nodrošina uzskaiti. Izņemot šo noteikumu </w:t>
      </w:r>
      <w:r w:rsidR="00000000" w:rsidRPr="00000000" w:rsidDel="00000000">
        <w:rPr>
          <w:rtl w:val="0"/>
        </w:rPr>
        <w:t xml:space="preserve">pielikuma</w:t>
      </w:r>
      <w:r w:rsidR="00000000" w:rsidRPr="00000000" w:rsidDel="00000000">
        <w:rPr>
          <w:rtl w:val="0"/>
        </w:rPr>
        <w:t xml:space="preserve"> 1.13. apakšpunktā minētajam 4.1.1.1. pasākuma finansējuma saņēmējam un 4.1.1.5. pasākuma finansējuma saņēmējam.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normatīvajiem aktiem par kārtību, kādā plāno valsts budžeta līdzekļus un veic maksājumus. Sadarbības iestāde, pamatojoties uz finansējuma saņēmēja pieprasījumu un atbilstoši projekta finansēšanas plānam, veicot avansa un starpposma maksājumus, ievēro nosacījumu, ka to kopsumma nepārsniedz 90 procentus no projektam piešķirtā Eiropas Reģionālās attīstības fonda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Pasākuma ietvaros projektu īsteno saskaņā ar līgumu par projekta īstenošanu, kas noslēgts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Sadarbības iestādei ir tiesības vienpusēji atkāpties no noslēgtā līguma par projekta īstenošanu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vienošanos vai līgumu par projekta īstenošanu, tai skaitā netiek ievēroti projektā noteiktie termiņi vai ir iestājušies citi apstākļi, kas negatīvi ietekmē vai var ietekmēt pasākuma iznākuma un uzraudzības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finansējums saņēmējs apzināti ir sniedzis sadarbības iestādei nepatiesu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vienošanās vai līgums par projekta īstenošanu.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23-TA-742</w:t>
    </w:r>
    <w:r>
      <w:br/>
    </w:r>
    <w:r w:rsidR="00000000" w:rsidRPr="00000000" w:rsidDel="00000000">
      <w:rPr>
        <w:rtl w:val="0"/>
      </w:rPr>
      <w:t xml:space="preserve">Izdrukāts 29.07.2026. 22.03 - 1.0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23-TA-742</w:t>
    </w:r>
    <w:r>
      <w:br/>
    </w:r>
    <w:r w:rsidR="00000000" w:rsidRPr="00000000" w:rsidDel="00000000">
      <w:rPr>
        <w:rtl w:val="0"/>
      </w:rPr>
      <w:t xml:space="preserve">Izdrukāts 29.07.2026. 22.03 - 1.0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noteikumu_projekts_23-TA-742.docx</dc:title>
</cp:coreProperties>
</file>

<file path=docProps/custom.xml><?xml version="1.0" encoding="utf-8"?>
<Properties xmlns="http://schemas.openxmlformats.org/officeDocument/2006/custom-properties" xmlns:vt="http://schemas.openxmlformats.org/officeDocument/2006/docPropsVTypes"/>
</file>