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763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23. novembrī (prot. Nr. 76 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Likuma par budžetu un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finanšu vadību</w:t>
      </w:r>
      <w:r w:rsidR="00000000" w:rsidRPr="00000000" w:rsidDel="00000000">
        <w:rPr>
          <w:rStyle w:val="paragraph"/>
          <w:i w:val="1"/>
          <w:rtl w:val="0"/>
        </w:rPr>
        <w:t xml:space="preserve"> 9. panta trīspadsmitās daļas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1. un 2. punktu, 9.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1 </w:t>
      </w:r>
      <w:r w:rsidR="00000000" w:rsidRPr="00000000" w:rsidDel="00000000">
        <w:rPr>
          <w:rStyle w:val="paragraph"/>
          <w:i w:val="1"/>
          <w:rtl w:val="0"/>
        </w:rPr>
        <w:t xml:space="preserve">panta pirmo daļu un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12. 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17. jūlija noteikumos Nr. 421 "Kārtība, kādā veic gadskārtējā valsts budžeta likumā noteiktās apropriācijas izmaiņas" (Latvijas Vēstnesis, 2018, 142. nr.; 2019, 191. nr.; 2020, 71. nr.; 2021, 31.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24.7.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"24.7. valsts budžeta līdzfinansējumu Eiropas Savienības Atveseļošanas un noturības mehānisma plāna administrēšanas nodrošināšanai 2021.–2027. gadam Eiropas Parlamenta un Padomes 2021. gada 12. februāra Regulā (ES) 2021/241, ar ko izveido Atveseļošanas un noturības mehānismu, noteikto prasību ievērošanai."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21-TA-592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21-TA-592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