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ārkārtējo situāciju un izņēmuma stāvokli"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ārkārtējo situāciju un izņēmuma stāvokli" (Latvijas Vēstnesis, 2013, 61. nr.; 2014, 220. nr.; 2020, 67.B, 110.A nr.; 2021, 104.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4. panta otro daļu pēc vārdiem "kas saistīts ar" ar vārdiem "krīzi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6. panta pirmās daļas 1. punktā vārdus "Krīzes vadības padome" ar vārdiem "Valsts kancelejas Krīzes vadības centrs".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4. punktu pēc vārda "atbildīgo" ar vārdiem "amatpersonu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pieņemot lēmumu par ārkārtējo situāciju vai par izsludinātās ārkārtējās situācijas pagarināšanu, nosaka termiņu, kādā pēc ārkārtējās situācijas atcelšanas vai tai noteiktā termiņa beigām veicams visaptverošs ārkārtējās situācijas izvērtējums, un minētā izvērtējuma veicēju."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22.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23.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23. 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21. pantā minēto pārkāpumu veic Administratīvās atbildības likuma 115. panta pirmajā daļā noteiktā iestāde atbilstoši kompetencei."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24-TA-2741</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24-TA-2741</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likumprojekts_(grozījumi)_24-TA-2741.docx</dc:title>
</cp:coreProperties>
</file>

<file path=docProps/custom.xml><?xml version="1.0" encoding="utf-8"?>
<Properties xmlns="http://schemas.openxmlformats.org/officeDocument/2006/custom-properties" xmlns:vt="http://schemas.openxmlformats.org/officeDocument/2006/docPropsVTypes"/>
</file>