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66.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br/>
      </w:r>
      <w:r w:rsidR="00000000" w:rsidRPr="00000000" w:rsidDel="00000000">
        <w:rPr>
          <w:rStyle w:val="paragraph"/>
          <w:i w:val="1"/>
          <w:rtl w:val="0"/>
        </w:rPr>
        <w:t xml:space="preserve">4. panta 3.</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un 3.</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 un 30.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bērniem pirmsskolas izglītības programmās, tai skaitā šo noteikumu 7.1. apakšpunktā minētajiem bērniem, – 92,5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1.–6. klases skolēniem – 104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7.–9. klases skolēniem – 134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10.–12. klases skolēniem, tai skaitā šo noteikumu 7.3. apakšpunktā minētajiem skolēniem, –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šo noteikumu 4.2. apakšpunktā un 9. punktā minētajiem 1.–9. klases skolēniem – 119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šo noteikumu 7.1. un 7.2. apakšpunktā minētajiem 1.–12. klases skolēniem – 127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Pašvaldībām ir tiesības sadalīt starp izglītības iestādēm finansējumu atbalsta personālam, kā arī finansējumu ilgstoši slimojošo skolēnu izglītošanai ārpus izglītības iestādēm (slimnīcās un sociālās aprūpes iestādēs) un prioritāri – imigrējošo un reemigrējošo izglītojamo atbalstam. Pašvaldība, apstiprinot mērķdotāciju katrai izglītības iestādei, ņem vērā izglītības iestādes pārskatā norādīto atlikumu uz kārtējā budžeta gada sākumu. Finansējumu pašvaldību izglītības iestādēm bērnu no piecu gadu vecuma izglītošanā nodarbināto pirmsskolas izglītības pedagogu un skolotāju logopēdu darba samaksai, tai skaitā pedagogu profesionālās darbības kvalitātes piemaksām, pašvaldība sadala atbilstoši tās izstrādātajai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Grozījumu šo noteikumu 5.1. apakšpunktā, kas paredz, ka ministrija aprēķina mērķdotāciju pašvaldībai vienam mēnesim bērniem pirmsskolas izglītības programmās, tai skaitā šo noteikumu 7.1. apakšpunktā minētajiem bērniem, 92,5 </w:t>
      </w:r>
      <w:r w:rsidR="00000000" w:rsidRPr="00000000" w:rsidDel="00000000">
        <w:rPr>
          <w:i w:val="1"/>
          <w:rtl w:val="0"/>
        </w:rPr>
        <w:t xml:space="preserve">euro </w:t>
      </w:r>
      <w:r w:rsidR="00000000" w:rsidRPr="00000000" w:rsidDel="00000000">
        <w:rPr>
          <w:rtl w:val="0"/>
        </w:rPr>
        <w:t xml:space="preserve">apmērā uz vienu izglītojamo, piemēro no 2023. gada 1. septembra. Laikposmam no 2023. gada 1. janvāra līdz 2023. gada 31. augustam ministrija aprēķina minēto mērķdotāciju 90 </w:t>
      </w:r>
      <w:r w:rsidR="00000000" w:rsidRPr="00000000" w:rsidDel="00000000">
        <w:rPr>
          <w:i w:val="1"/>
          <w:rtl w:val="0"/>
        </w:rPr>
        <w:t xml:space="preserve">euro </w:t>
      </w:r>
      <w:r w:rsidR="00000000" w:rsidRPr="00000000" w:rsidDel="00000000">
        <w:rPr>
          <w:rtl w:val="0"/>
        </w:rPr>
        <w:t xml:space="preserve">apmērā uz vienu izglītojamo.";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 Lai mazinātu pašvaldībām aprēķinātās mērķdotācijas atšķirības laikposmam no 2023. gada 1. janvāra līdz 2023. gada 31. augustam, šo noteikumu 6. punktā norādītais reģionālais koeficients tiek koriģēts un mērķdotācijas aprēķinā ministrija piemēro izlīdzināšanas koeficientu, ko aprēķina, izmantojot šo noteikumu 24. punktā minēto formulu."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stājās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22-TA-3431</w:t>
    </w:r>
    <w:r>
      <w:br/>
    </w:r>
    <w:r w:rsidR="00000000" w:rsidRPr="00000000" w:rsidDel="00000000">
      <w:rPr>
        <w:rtl w:val="0"/>
      </w:rPr>
      <w:t xml:space="preserve">Izdrukāts 29.07.2026. 21.22 - 1.0.VK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22-TA-3431</w:t>
    </w:r>
    <w:r>
      <w:br/>
    </w:r>
    <w:r w:rsidR="00000000" w:rsidRPr="00000000" w:rsidDel="00000000">
      <w:rPr>
        <w:rtl w:val="0"/>
      </w:rPr>
      <w:t xml:space="preserve">Izdrukāts 29.07.2026. 21.22 - 1.0.VK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noteikumu_(grozījumu)_projekts_22-TA-3431.docx</dc:title>
</cp:coreProperties>
</file>

<file path=docProps/custom.xml><?xml version="1.0" encoding="utf-8"?>
<Properties xmlns="http://schemas.openxmlformats.org/officeDocument/2006/custom-properties" xmlns:vt="http://schemas.openxmlformats.org/officeDocument/2006/docPropsVTypes"/>
</file>