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(turpmāk – specifiskais atbalsta mērķis) 4.1.2.5. pasākumu "Piesaistīt un noturēt ārstniecības personas darbam valsts apmaksāto veselības aprūpes pakalpojumu sektorā, īpaši stacionāros"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projektu iesniedzējam (turpmāk – projekta iesniedzējs), finansējuma saņēmējam (turpmāk – finansējuma saņēmējs)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izmaksu attiecināmības nosacījumus, tostarp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atbalsta veids ir grants (dotācija) ar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piesaistīt un noturēt ārstniecības personas darbam valsts apmaksāto veselības aprūpes pakalpojumu sektorā, īpaši stacionāros.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ārstniecības personas.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iznākuma rādītājs "Piesaistīto ārstniecības personu skaits, kuras saņēmušas atbalstu, lai veicinātu to piesaisti darbam veselības aprūpē" paredz, ka atbalstu uz 2029. gada 31. decembri būs saņēmušas 458 ārstniecības personas, tostarp uz 2024. gada 31. decembri atbalstu būs saņēmušas 50 ārstniecības personas, tai skaitā: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iznākuma rādītājs "Personas ar vidējo izglītību" paredz, ka atbalstu uz 2029. gada 31. decembri būs saņēmušas 45 ārstniecības personas un uz 2024. gada 31. decembri atbalstu būs saņēmušas piecas ārstniecības personas;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iznākuma rādītājs "Personas ar augstāko izglītību" paredz, ka atbalstu uz 2029. gada 31. decembri būs saņēmušas 413 ārstniecības personas un uz 2024. gada 31. decembri atbalstu būs saņēmušas 45 ārstniecības personas.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plānotais un pieejamais kopējais finansējums ir 6 690 300 </w:t>
      </w:r>
      <w:r w:rsidR="00000000" w:rsidRPr="00000000" w:rsidDel="00000000">
        <w:rPr>
          <w:i w:val="1"/>
          <w:rtl w:val="0"/>
        </w:rPr>
        <w:t xml:space="preserve">euro</w:t>
      </w:r>
      <w:r w:rsidR="00000000" w:rsidRPr="00000000" w:rsidDel="00000000">
        <w:rPr>
          <w:rtl w:val="0"/>
        </w:rPr>
        <w:t xml:space="preserve">, tai skaitā Eiropas Sociālā fonda Plus finansējums 5 686 755 </w:t>
      </w:r>
      <w:r w:rsidR="00000000" w:rsidRPr="00000000" w:rsidDel="00000000">
        <w:rPr>
          <w:i w:val="1"/>
          <w:rtl w:val="0"/>
        </w:rPr>
        <w:t xml:space="preserve">euro</w:t>
      </w:r>
      <w:r w:rsidR="00000000" w:rsidRPr="00000000" w:rsidDel="00000000">
        <w:rPr>
          <w:rtl w:val="0"/>
        </w:rPr>
        <w:t xml:space="preserve"> un valsts budžeta līdzfinansējums 1 003 545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Eiropas Sociālā fonda Plus finansējuma apmērs nepārsniedz 85 procentus no projekta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pēc tam,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atlase tiek izsludināta vienu reizi par visu pasākumam pieejamo finansējumu.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kas pēc sadarbības iestādes lēmuma par projekta iesnieguma apstiprināšanu kļūst par finansējuma saņēmēju, pasākuma ietvaros ir vadošā valsts pārvaldes iestāde veselības nozarē – Veselības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iesniedzējs par sadarbības partneriem piesaista šo noteikumu 21.1.</w:t>
      </w:r>
      <w:r w:rsidR="00000000" w:rsidRPr="00000000" w:rsidDel="00000000">
        <w:rPr>
          <w:vertAlign w:val="superscript"/>
          <w:rtl w:val="0"/>
        </w:rPr>
        <w:t xml:space="preserve">1</w:t>
      </w:r>
      <w:r w:rsidR="00000000" w:rsidRPr="00000000" w:rsidDel="00000000">
        <w:rPr>
          <w:rtl w:val="0"/>
        </w:rPr>
        <w:t xml:space="preserve"> apakšpunktā minētās atbalstāmās iestādes, kurām tiek piešķirts komercdarbības atbalsts saskaņā ar šo noteikumu </w:t>
      </w:r>
      <w:r w:rsidR="00000000" w:rsidRPr="00000000" w:rsidDel="00000000">
        <w:rPr>
          <w:rtl w:val="0"/>
        </w:rPr>
        <w:t xml:space="preserve">VII </w:t>
      </w:r>
      <w:r w:rsidR="00000000" w:rsidRPr="00000000" w:rsidDel="00000000">
        <w:rPr>
          <w:rtl w:val="0"/>
        </w:rPr>
        <w:t xml:space="preserve">nodaļu</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saņēmējs atbilstoši normatīvajiem aktiem par kārtību, kādā Eiropas Savienības fondu vadībā iesaistītās institūcijas nodrošina šo fondu ieviešanu 2021.–2027. gada plānošanas periodā, slēdz sadarbības līgumus ar sadarbības partneriem, kontrolē līgumu izpildi un novērš dubultā finansējuma riskus. Sadarbības līgumā papildus iekļauj vismaz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komercdarbības atbalsta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minēto nosacījumu un tā izpildes uzraudzības kārtību, tai skaitā  dokumentācijas uzraudzības un pārskatu sniegšanas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un citas informācijas iesniegšanas kārtību, kā arī dokumentu glabāšanas termiņus.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nolikumam un iesniedz to sadarbības iestādē, izmantojot Kohēzijas politikas fondu vadības informācijas sistēmu.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Pasākuma 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personu piesaiste;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ārsta prakses nodošana;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pasākumu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atbalstāmās darbības attiecināmās izmaksas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w:t>
      </w:r>
      <w:r w:rsidR="00000000" w:rsidRPr="00000000" w:rsidDel="00000000">
        <w:rPr>
          <w:rtl w:val="0"/>
        </w:rPr>
        <w:t xml:space="preserve">Regula Nr. 2021/1060</w:t>
      </w:r>
      <w:r w:rsidR="00000000" w:rsidRPr="00000000" w:rsidDel="00000000">
        <w:rPr>
          <w:rtl w:val="0"/>
        </w:rPr>
        <w:t xml:space="preserve">), 55. panta 1. punktu projekta iesniegumā plāno kā vienu izmaksu pozīciju, piemērojot vienoto izmaksu likmi 13 procentu apmērā no pārējām šo noteikumu </w:t>
      </w:r>
      <w:r w:rsidR="00000000" w:rsidRPr="00000000" w:rsidDel="00000000">
        <w:rPr>
          <w:rtl w:val="0"/>
        </w:rPr>
        <w:t xml:space="preserve">34.</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atlīdzības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atbalstāmās darbības ietvaros ir attiecināmas izmaksas par ārstniecības personu piesaistes pasākumiem, kuri ir vērsti uz valsts apmaksāto veselības aprūpes pakalpojumu pieejamības uzlabošanu un tiek īstenoti visā Latvijas teritorijā, kur ir konstatēts ārstniecības personāla trūkums, un iekļauj vienreizēju kompensāciju deviņu mēnešalgu apmērā atbilstoši ārstniecības personas amata kvalifikācijas kategorijai noteiktajai zemākajai algai saskaņā ar 2024. gada 1. janvārī spēkā esošajiem normatīvajiem aktiem par zemāko mēnešalgu un speciālo piemaksu ārstniecības personām (turpmāk – ārstniecības personas zemākās algas apmērs). Izmaksas attiecināmas uz šādām ārstniecības personām: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sertificēts ārsts un sertificēts zobārsts;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sertificēts fizioterapeits, sertificēts ergoterapeits, sertificēts audiologopēds un sertificēts mākslas terapeits;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zobārsta asistents;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māsa, sertificēts ārsta palīgs, sertificēta vecmāte;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sertificēts zobu higiēnists;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māsas palīgs.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minētajām ārstniecības personām saskaņā ar normatīvajiem aktiem par ārstniecības personu un ārstniecības atbalsta personu reģistra izveidi jābūt reģistrētām Ārstniecības personu un ārstniecības atbalsta personu reģistrā.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 minētā atbalstāmā darbība ietver vienreizēju kompensāciju ģimenes ārstam, kurš nodod savu ģimenes ārsta praksi, par specifisko zināšanu, informācijas un pieredzes nodošanu ģimenes ārstam, kurš pārņem praksi, ne mazāk kā viena mēneša periodam un iekļauj vienreizēju kompensāciju triju mēnešalgu apmērā atbilstoši ārstniecības personas zemākās algas apmēram.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minētā atbalstāmā darbība ietver informācijas un publicitātes nodrošināšanas izmaksas atbilstoši Regulas Nr. 2021/1060 47. un 50. pantam un kārtībai,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noteiktajām vienreizējām kompensācijām var pretendēt ārstniecības personas (turpmāk – kompensācijas pretendents vai kompensācijas saņēmējs) darbam prioritārajās jomās, tas ir, sirds un asinsvadu slimības, onkoloģija, psihiskā veselība, mātes un bērna veselības aprūpe, retās slimības, paliatīvā aprūpe, medicīniskā rehabilitācija, un ar šīm jomām saistītajās specialitātēs (turpmāk – atbalstāmās specialitātes), ja ir spēkā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atbalstāmās profesijas un specialitātes ir minētas pasākumam izstrādātajā Cilvēkresursu piesaistes plānā (turpmāk – Cilvēkresursu plāns);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ārstniecības iestādei ir noslēgts līgums ar Nacionālo veselības dienestu (turpmāk – dienests) par valsts apmaksāto veselības aprūpes pakalpojumu sniegšanu Latvijā, tai skaitā zobārstam – par zobārstniecības pakalpojumu sniegšanu, saskaņā ar normatīvajiem aktiem par veselības aprūpes pakalpojumu organizēšanas un samaksas kārtību vai noteikts deleģējums nodrošināt veselības aprūpes pakalpojumus (turpmāk – atbalstāmā iestāde);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kompensācijas pretendents šo noteikumu spēkā stāšanās dienā nav strādājis atbalstāmajā specialitātē atbalstāmajā iestādē. Kompensācijas pretendenta atbilstību pārbauda uz šo noteikumu spēkā stāšanās datumu – 2023. gada 23. augustu.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21.3.</w:t>
      </w:r>
      <w:r w:rsidR="00000000" w:rsidRPr="00000000" w:rsidDel="00000000">
        <w:rPr>
          <w:i w:val="1"/>
          <w:rtl w:val="0"/>
        </w:rPr>
        <w:t xml:space="preserve"> (Svītrots)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kompensācijas pretendents pēc 2023. gada 23. augusta strādā atbalstāmajā iestādē atbalstāmajā specialitātē valsts apmaksāto veselības aprūpes pakalpojumu sniegšanā, un kompensācijas pretendentam ar atbalstāmo iestādi ir noslēgts darba līgums par normālo (tai skaitā saīsināto) darba laiku neatkarīgi no darba laika organizācijas (piemēram, nakts darbs, maiņu darbs vai summētais darba laiks). Darba līgums ir noslēgts vismaz uz trim gadiem no kompensācijas līguma noslēgšanas brīža.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17.</w:t>
      </w:r>
      <w:r w:rsidR="00000000" w:rsidRPr="00000000" w:rsidDel="00000000">
        <w:rPr>
          <w:rtl w:val="0"/>
        </w:rPr>
        <w:t xml:space="preserve"> punktā minētajām vienreizējām kompensācijām, ievērojot šo noteikumu </w:t>
      </w:r>
      <w:r w:rsidR="00000000" w:rsidRPr="00000000" w:rsidDel="00000000">
        <w:rPr>
          <w:rtl w:val="0"/>
        </w:rPr>
        <w:t xml:space="preserve">21.</w:t>
      </w:r>
      <w:r w:rsidR="00000000" w:rsidRPr="00000000" w:rsidDel="00000000">
        <w:rPr>
          <w:rtl w:val="0"/>
        </w:rPr>
        <w:t xml:space="preserve"> punktā minētos nosacījumus, finansējuma saņēmējs, kompensācijas saņēmējs un atbalstāmā iestāde slēdz trīspusēju līgumu par kompensācijas saņemšanu (turpmāk – kompensācijas līgums), izņemot gadījumu, ja kompensācijas saņēmējs ir arī atbalstāmā iestāde un tiek slēgts divpusējs līgums.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Pieteikumu uz šo noteikumu </w:t>
      </w:r>
      <w:r w:rsidR="00000000" w:rsidRPr="00000000" w:rsidDel="00000000">
        <w:rPr>
          <w:rtl w:val="0"/>
        </w:rPr>
        <w:t xml:space="preserve">17.</w:t>
      </w:r>
      <w:r w:rsidR="00000000" w:rsidRPr="00000000" w:rsidDel="00000000">
        <w:rPr>
          <w:rtl w:val="0"/>
        </w:rPr>
        <w:t xml:space="preserve"> punktā minētajām vienreizējām kompensācijām kompensācijas pretendents iesniedz kopā ar atbalstāmās iestādes apliecinājumu, ka kompensācijas pretendents un atbalstāmā iestāde atbilst šo noteikumu </w:t>
      </w:r>
      <w:r w:rsidR="00000000" w:rsidRPr="00000000" w:rsidDel="00000000">
        <w:rPr>
          <w:rtl w:val="0"/>
        </w:rPr>
        <w:t xml:space="preserve">21.</w:t>
      </w:r>
      <w:r w:rsidR="00000000" w:rsidRPr="00000000" w:rsidDel="00000000">
        <w:rPr>
          <w:rtl w:val="0"/>
        </w:rPr>
        <w:t xml:space="preserve"> punktā minētajiem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Kompensācijas pretendenta un atbalstāmās iestādes atbilstību šo noteikumu </w:t>
      </w:r>
      <w:r w:rsidR="00000000" w:rsidRPr="00000000" w:rsidDel="00000000">
        <w:rPr>
          <w:rtl w:val="0"/>
        </w:rPr>
        <w:t xml:space="preserve">21.</w:t>
      </w:r>
      <w:r w:rsidR="00000000" w:rsidRPr="00000000" w:rsidDel="00000000">
        <w:rPr>
          <w:rtl w:val="0"/>
        </w:rPr>
        <w:t xml:space="preserve"> punktā minētajiem kompensācijas nosacījumiem finansējuma saņēmējs pārbauda uz kompensācijas pieteikuma iesniegšanas brīdi.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minētais nosacījums nav attiecināms uz šo noteikumu </w:t>
      </w:r>
      <w:r w:rsidR="00000000" w:rsidRPr="00000000" w:rsidDel="00000000">
        <w:rPr>
          <w:rtl w:val="0"/>
        </w:rPr>
        <w:t xml:space="preserve">17.1.</w:t>
      </w:r>
      <w:r w:rsidR="00000000" w:rsidRPr="00000000" w:rsidDel="00000000">
        <w:rPr>
          <w:rtl w:val="0"/>
        </w:rPr>
        <w:t xml:space="preserve"> apakšpunktā minēto ģimenes ārstu, ja ģimenes ārsts konkrētajā periodā ir strādājis ģimenes ārsta praksē, bet tam nav sava pacientu saraksta.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 minētā kompensācija ir atbalstāma, ja kompensācijas pretendents – ģimenes ārsts, kurš nodod savu ģimenes ārsta praksi, – ir sasniedzis pensijas vecumu un kopā ar pieteikumu iesniedzis dienesta apliecinājumu, ka  ģimenes ārsts, kurš nodod praksi, un ģimenes ārsts, kurš pārņems praksi, ir parakstījuši vienošanos par prakses pārņemšanas uzsākšanu. Specifisko zināšanu, informācijas un pieredzes nodošana norit ne mazāk kā vienu mēnesi no pieteikuma iesniegšanas brīža.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punktā minētā ģimenes ārsta prakses pārņemšanas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ģimenes ārstam, kurš nodod savu ģimenes ārsta praksi, ir spēkā esošs ģimenes ārsta sertifikāts un spēkā esošs līgums ar dienestu par primārās veselības aprūpes pakalpojumu sniegšanu un apmaksu;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ārsts, kurš pārņems praksi, var būt gan rezidentūras students, gan jau sertificēts ģimenes ārsts ar spēkā esošu līgumu par primārās veselības aprūpes pakalpojumu sniegšanu un apmaksu vai bez šāda līguma.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 minēto vienreizējās kompensācijas pretendenta atbilstību vērtē finansējuma saņēmējs pieteikuma iesniegšanas brīdī, un kompensāciju attiecina un izmaksā tikai pēc tam, kad stājas spēkā ģimenes ārsta, kurš pārņem praksi, ar dienestu noslēgtais līgums par primārās veselības aprūpes sniegšanu un apmaksu un dienests to apliecina.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 minēto prasību izpilde var ietvert noteikumos par rezidentu uzņemšanas, sadales un rezidentūras finansēšanas kārtību noteikto prasību izpildi attiecībā uz nodarbinātību rezidentūras laikā un pēc rezidentūras beigšanas neatkarīgi no specialitātes, kurā rezidentūra tiek veikta.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kontrolētu šo noteikumu </w:t>
      </w:r>
      <w:r w:rsidR="00000000" w:rsidRPr="00000000" w:rsidDel="00000000">
        <w:rPr>
          <w:rtl w:val="0"/>
        </w:rPr>
        <w:t xml:space="preserve">21.4.</w:t>
      </w:r>
      <w:r w:rsidR="00000000" w:rsidRPr="00000000" w:rsidDel="00000000">
        <w:rPr>
          <w:rtl w:val="0"/>
        </w:rPr>
        <w:t xml:space="preserve"> apakšpunktā ietverto prasību izpildi, kā arī pamatojoties uz finansējuma saņēmēja pieprasījumu, atbalstāmā iestāde sniedz informāciju par kompensācijas saņēmēja darba apjomu valsts apmaksāto veselības aprūpes pakalpojumu sniegšanā trīs gadus kopš šo noteikumu </w:t>
      </w:r>
      <w:r w:rsidR="00000000" w:rsidRPr="00000000" w:rsidDel="00000000">
        <w:rPr>
          <w:rtl w:val="0"/>
        </w:rPr>
        <w:t xml:space="preserve">22.</w:t>
      </w:r>
      <w:r w:rsidR="00000000" w:rsidRPr="00000000" w:rsidDel="00000000">
        <w:rPr>
          <w:rtl w:val="0"/>
        </w:rPr>
        <w:t xml:space="preserve"> punktā minētā kompensācijas līguma noslēgšanas brīža.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21.2.</w:t>
      </w:r>
      <w:r w:rsidR="00000000" w:rsidRPr="00000000" w:rsidDel="00000000">
        <w:rPr>
          <w:rtl w:val="0"/>
        </w:rPr>
        <w:t xml:space="preserve"> apakšpunktā minētā atbalstāmā iestāde izbeidz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apakšpunktā minētā līguma darbību vai samazina kompensācijas saņēmēja darba apjomu, kompensācijas saņēmējam ir tiesības turpināt darbu atbalstāmajā specialitātē citā atbalstāmajā iestādē, ja tiek izpildīti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minētie nosacījumi. Katrā individuālā gadījumā lēmumu par atbalstāmās iestādes maiņas pamatotību un atbalstīšanu pieņem konsultatīvā darba grupa, pamatojoties uz sadarbības iestādes lēmumu par komercdarbības atbalsta piešķiršanu atbalstāmajai iestādei, kurā darbu turpinās kompensācijas saņēmējs.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21.2.</w:t>
      </w:r>
      <w:r w:rsidR="00000000" w:rsidRPr="00000000" w:rsidDel="00000000">
        <w:rPr>
          <w:rtl w:val="0"/>
        </w:rPr>
        <w:t xml:space="preserve">  apakšpunktā minētā atbalstāmā iestāde pārtrauc deleģēto funkciju nodrošināšanu, kompensācijas saņēmējam ir tiesības turpināt darbu atbalstāmajā specialitātē citā atbalstāmajā iestādē, ja tiek izpildīti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minētie nosacījumi. Katrā individuālā gadījumā lēmumu par atbalstāmās iestādes maiņas pamatotību un atbalstīšanu pieņem konsultatīvā darba grupa.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Kompensācijas saņēmējs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minēto kompensāciju var saņemt vienu reizi projekta īstenošanas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Kompensācijas pretendenti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minēto kompensāciju nesaņem, ja kompensācija jau ir saņemta saskaņā ar Eiropas Savienības struktūrfondu un Kohēzijas fonda 2014.–2020. gada plānošanas perioda darbības programmas "Izaugsme un nodarbinātība" prioritārā virziena "Sociālā iekļaušana un nabadzības apkarošana" 9.2.5. specifiskā atbalsta mērķi "Uzlabot pieejamību ārstniecības un ārstniecības atbalsta personām, kas sniedz pakalpojumus prioritārajās veselības jomās iedzīvotājiem, kas dzīvo ārpus Rīgas" un 9.2.7. specifiskā atbalsta mērķi "Atbalsts ārstniecības personām, kas nodrošina pacientu ārstēšanu sabiedrības veselības krīžu situāciju novēršanai".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pēc lēmuma par atbalsta piešķiršanu un kompensācijas izmaksāšanu tiek konstatēts, ka izmaksātā kompensācijas summa pārsniedz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noteikto kompensāciju apmēru, kompensācijas saņēmējiem ir pienākums atmaksāt finansējuma saņēmējam pārmaksāto atbalsta summu.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15 procentu apmērā no šo noteikumu </w:t>
      </w:r>
      <w:r w:rsidR="00000000" w:rsidRPr="00000000" w:rsidDel="00000000">
        <w:rPr>
          <w:rtl w:val="0"/>
        </w:rPr>
        <w:t xml:space="preserve">16.</w:t>
      </w:r>
      <w:r w:rsidR="00000000" w:rsidRPr="00000000" w:rsidDel="00000000">
        <w:rPr>
          <w:rtl w:val="0"/>
        </w:rPr>
        <w:t xml:space="preserve">  punktā minētajām tiešajām personāla atlīdzības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finansējuma saņēmējs tos nevar atgūt normatīvajos aktos par pievienotās vērtības nodokli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minētās izmaksas veido pārējās projekta tiešās attiecināmās īstenošanas izmaksas, šo noteikumu </w:t>
      </w:r>
      <w:r w:rsidR="00000000" w:rsidRPr="00000000" w:rsidDel="00000000">
        <w:rPr>
          <w:rtl w:val="0"/>
        </w:rPr>
        <w:t xml:space="preserve">16.</w:t>
      </w:r>
      <w:r w:rsidR="00000000" w:rsidRPr="00000000" w:rsidDel="00000000">
        <w:rPr>
          <w:rtl w:val="0"/>
        </w:rPr>
        <w:t xml:space="preserve"> punktā minētās izmaksas veido projekta tiešās attiecināmās personāla atlīdzības izmaksas.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Pasākuma projekta īstenošanas un finansējuma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finansējuma saņēmējs izveido konsultatīvu darba grupu. Konsultatīvās darba grupas sastāvā pastāvīgo locekļu statusā pieaicina: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balsstiesībām – Veselības ministrijas un dienesta pārstāvjus;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balsstiesībām – atbildīgās iestādes pārstāvjus.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konsultatīvās darba grupas sanāksmes organizē atbilstoši nepieciešamībai. Konsultatīvā darba grupa: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priekšlikumus un saskaņo Cilvēkresursu plānu, kas nosaka nepieciešamo cilvēkresursu piesaisti veselības aprūpes pakalpojumu nodrošināšanai atbalstāmajā specialitātē atbalstāmajā iestādē visā Latvijas teritorijā;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nepieciešamībai, bet ne retāk kā reizi pusgadā izvērtē Cilvēkresursu plāna izpildi;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Cilvēkresursu piesaistes kārtību (turpmāk - Kārtība), kādā veicama cilvēkresursu piesaiste un kompensāciju piešķiršana;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izvērtē kompensācijas pretendentu atbilstību un pieņem lēmumu par kompensācijas piešķiršanu šādā kārtībā: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kompensācijas pretendentu pieteikumiem, kuriem ir saistošs komercdarbības atbalsts, pēc finansējuma saņēmēja veiktās šo noteikumu  </w:t>
      </w:r>
      <w:r w:rsidR="00000000" w:rsidRPr="00000000" w:rsidDel="00000000">
        <w:rPr>
          <w:rtl w:val="0"/>
        </w:rPr>
        <w:t xml:space="preserve">24.</w:t>
      </w:r>
      <w:r w:rsidR="00000000" w:rsidRPr="00000000" w:rsidDel="00000000">
        <w:rPr>
          <w:rtl w:val="0"/>
        </w:rPr>
        <w:t xml:space="preserve"> punktā minētās pārbaudes apstiprina izvērtējumu par kompensācijas pretendentu un atbalstāmās iestādes atbilstību šo noteikumu </w:t>
      </w:r>
      <w:r w:rsidR="00000000" w:rsidRPr="00000000" w:rsidDel="00000000">
        <w:rPr>
          <w:rtl w:val="0"/>
        </w:rPr>
        <w:t xml:space="preserve">21.</w:t>
      </w:r>
      <w:r w:rsidR="00000000" w:rsidRPr="00000000" w:rsidDel="00000000">
        <w:rPr>
          <w:rtl w:val="0"/>
        </w:rPr>
        <w:t xml:space="preserve"> punkta nosacījumiem;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kompensācijas pretendentu pieteikumiem, kuriem nav saistošs komercdarbības atbalsts, izvērtē pretendentu un atbalstāmās iestādes atbilstību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punkta nosacījumiem un apstiprina kompensācijas piešķiršanu.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izstrādā kārtību, kādā veicama cilvēkresursu piesaiste veselības aprūpes pakalpojumu nodrošināšanai visā Latvijas teritorijā, paredzot atbalsta saņemšanas nosacījumus un kompensācijas pretendentu izvērtēšanas kritērijus.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sagatavo Cilvēkresursu plānu un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Cilvēkresursu plānā iekļauj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plānotās kompensāciju pretendentu atlases;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nepieciešamos speciālistus dalījumā pa atbalstāmajām iestādēm un atbalstāmajām specialitātēm.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līdz kārtējā gada 31. martam sagatavo pārskatu par iepriekšējā gada Cilvēkresursu plāna izpildes rezultātiem un efektivitātes izvērtējumu, tostarp priekšlikumus Cilvēkresursu plāna aktualizācijai, un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atbalstāmo kompensācijas pretendentu atlasi;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kompensācijas pretendentu un atbalstāmo iestāžu sarakstu (turpmāk – saraksts) izskatīšanai un apstiprināšanai konsultatīvajā darba grupā;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saraksta apstiprināšanas atbilstoši šo noteikumu </w:t>
      </w:r>
      <w:r w:rsidR="00000000" w:rsidRPr="00000000" w:rsidDel="00000000">
        <w:rPr>
          <w:rtl w:val="0"/>
        </w:rPr>
        <w:t xml:space="preserve">36.4.1.</w:t>
      </w:r>
      <w:r w:rsidR="00000000" w:rsidRPr="00000000" w:rsidDel="00000000">
        <w:rPr>
          <w:rtl w:val="0"/>
        </w:rPr>
        <w:t xml:space="preserve"> apakšpunktam sarakstu nosūta sadarbības iestādei lēmuma pieņemšanai par komercdarbības atbalsta piešķiršanu: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sadarbības iestādes pieņemtā lēmuma par komercdarbības atbalsta piešķiršanu slēdz kompensācijas līgumus un veic kompensācijas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kompensācijas līgumos norāda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apakšpunktā minētā lēmuma pieņemšanas datumu;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saraksta apstiprināšanas un lēmuma par kompensācijas piešķiršanu pieņemšanas atbilstoši šo noteikumu </w:t>
      </w:r>
      <w:r w:rsidR="00000000" w:rsidRPr="00000000" w:rsidDel="00000000">
        <w:rPr>
          <w:rtl w:val="0"/>
        </w:rPr>
        <w:t xml:space="preserve">36.4.2.</w:t>
      </w:r>
      <w:r w:rsidR="00000000" w:rsidRPr="00000000" w:rsidDel="00000000">
        <w:rPr>
          <w:rtl w:val="0"/>
        </w:rPr>
        <w:t xml:space="preserve"> apakšpunktam slēdz kompensācijas līgumus un izmaksā kompensācijas.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lai informācija par kompensācijas saņemšanu būtu publiski pieejama tīmeklī, un nodrošina iespēju anonīmi izteikt iebildumus un ierosinājumus par atbalsta pasākumiem, kā arī ne retāk kā reizi trijos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atgūst šo noteikumu </w:t>
      </w:r>
      <w:r w:rsidR="00000000" w:rsidRPr="00000000" w:rsidDel="00000000">
        <w:rPr>
          <w:rtl w:val="0"/>
        </w:rPr>
        <w:t xml:space="preserve">17.</w:t>
      </w:r>
      <w:r w:rsidR="00000000" w:rsidRPr="00000000" w:rsidDel="00000000">
        <w:rPr>
          <w:rtl w:val="0"/>
        </w:rPr>
        <w:t xml:space="preserve"> punktā minēto kompensāciju proporcionāli nenostrādātajam laikam, ja kompensācijas saņēmējs neizpilda šo noteikumu </w:t>
      </w:r>
      <w:r w:rsidR="00000000" w:rsidRPr="00000000" w:rsidDel="00000000">
        <w:rPr>
          <w:rtl w:val="0"/>
        </w:rPr>
        <w:t xml:space="preserve">21.</w:t>
      </w:r>
      <w:r w:rsidR="00000000" w:rsidRPr="00000000" w:rsidDel="00000000">
        <w:rPr>
          <w:rtl w:val="0"/>
        </w:rPr>
        <w:t xml:space="preserve"> punktā minētos nosacījumus vai pirms termiņa lauž šo noteikumu </w:t>
      </w:r>
      <w:r w:rsidR="00000000" w:rsidRPr="00000000" w:rsidDel="00000000">
        <w:rPr>
          <w:rtl w:val="0"/>
        </w:rPr>
        <w:t xml:space="preserve">22.</w:t>
      </w:r>
      <w:r w:rsidR="00000000" w:rsidRPr="00000000" w:rsidDel="00000000">
        <w:rPr>
          <w:rtl w:val="0"/>
        </w:rPr>
        <w:t xml:space="preserve"> punktā minēto līgumu, vai darba attiecību pārtraukums vai laiks, kad netiek pildīti kompensācijas līguma nosacījumi, pārsniedz trīs mēnešus triju gadu periodā un finansējuma saņēmējs nepagarina kompensācijas līguma darbības termiņu. Atgūto finansējumu var atkārtoti izmantot projekta īstenošanai.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uzkrāj:</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projekta ietvaros kompensāciju saņēmušajām personām atbilstoši Eiropas Parlamenta un Padomes 2021. gada 24. jūnija Regulas (ES) Nr.  </w:t>
      </w:r>
      <w:r w:rsidR="00000000" w:rsidRPr="00000000" w:rsidDel="00000000">
        <w:rPr>
          <w:rtl w:val="0"/>
        </w:rPr>
        <w:t xml:space="preserve">2021/1057</w:t>
      </w:r>
      <w:r w:rsidR="00000000" w:rsidRPr="00000000" w:rsidDel="00000000">
        <w:rPr>
          <w:rtl w:val="0"/>
        </w:rPr>
        <w:t xml:space="preserve">, ar ko izveido Eiropas Sociālo fondu Plus (ESF+) un atceļ Regulu (ES) Nr.  </w:t>
      </w:r>
      <w:r w:rsidR="00000000" w:rsidRPr="00000000" w:rsidDel="00000000">
        <w:rPr>
          <w:rtl w:val="0"/>
        </w:rPr>
        <w:t xml:space="preserve">1296/2013</w:t>
      </w:r>
      <w:r w:rsidR="00000000" w:rsidRPr="00000000" w:rsidDel="00000000">
        <w:rPr>
          <w:rtl w:val="0"/>
        </w:rPr>
        <w:t xml:space="preserve">, I pielikumam un normatīvajam aktam par Eiropas Savienības fondu projektu pārbaužu veikšanas kārtību 2021.–2027. gada plānošanas periodā;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horizontālā principa "Vienlīdzība, iekļaušana, nediskriminācija un pamattiesību ievērošana" horizontālo rādītāju – mediju kampaņu, semināru, konferenču un komunikācijas pasākumu skaits sabiedrības informēšanai, kuros tika nodrošināta informācijas pieejamība cilvēkiem ar dažādu veidu funkcionāliem traucējumiem;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šo noteikumu </w:t>
      </w:r>
      <w:r w:rsidR="00000000" w:rsidRPr="00000000" w:rsidDel="00000000">
        <w:rPr>
          <w:rtl w:val="0"/>
        </w:rPr>
        <w:t xml:space="preserve">8.</w:t>
      </w:r>
      <w:r w:rsidR="00000000" w:rsidRPr="00000000" w:rsidDel="00000000">
        <w:rPr>
          <w:rtl w:val="0"/>
        </w:rPr>
        <w:t xml:space="preserve"> punktā minēto iznākuma rādītāju sasniegšanu.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minētās kompensācijas netiek apliktas ar nodokli atbilstoši likuma "</w:t>
      </w:r>
      <w:r w:rsidR="00000000" w:rsidRPr="00000000" w:rsidDel="00000000">
        <w:rPr>
          <w:rtl w:val="0"/>
        </w:rPr>
        <w:t xml:space="preserve">Par iedzīvotāju ienākuma nodokli</w:t>
      </w:r>
      <w:r w:rsidR="00000000" w:rsidRPr="00000000" w:rsidDel="00000000">
        <w:rPr>
          <w:rtl w:val="0"/>
        </w:rPr>
        <w:t xml:space="preserve">" 9. panta pirmās daļas 16. 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un sadarbības partneris projekta īstenošanas laikā nodrošina interešu konflikta neesību saskaņā ar Eiropas Parlamenta un Padomes 2018. gada 18. jūlija Regulas (ES, Euratom)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 kā arī paraksta interešu konflikta neesības apliecinājumu.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saņēmējam atbilstoši Ministru kabineta 2017. gada 17. oktobra noteikumiem Nr. 630 "Noteikumi par iekšējās kontroles sistēmas pamatprasībām korupcijas un interešu konflikta riska novēršanai publiskas personas institūcijā" ir izveidota iekšējās kontroles sistēma korupcijas un interešu konflikta riska novēršanai publiskas personas institūcijā, un tā ietver: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preventīvus pasākumus un konstatēšanas pasākumus interešu konflikta riska kontrolei, tai skaitā paziņošanas procedūru un labošanas pasākumus;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pasākumus aizliegtās vienošanās riska kontrolei;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dubultā finansējuma novēršanas mehānismu.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projektu pasākuma ietvaros īsteno saskaņā ar vienošanos par projekta īstenošanu, bet ne ilgāk kā līdz 2029. gada 31. decembrim vai līdz brīdim, kad beidzas projektam pieejamais finansējums.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Komercdarbības atbalsta piešķiršanas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Sadarbības partnera atbilstību komercdarbības atbalsta piešķiršanai pārbauda sadarbības iestāde.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partnerim, kuram saskaņā ar normatīvajiem aktiem par veselības aprūpes pakalpojumu organizēšanu un samaksu ar dienestu ir noslēgts līgums par valsts apmaksāto veselības aprūpes pakalpojumu sniegšanu, šo noteikumu 17. punktā minētās vienreizējās kompensācijas piešķiramas saskaņā ar šīs nodaļas nosacījumiem un tās ir uzskatāmas par komercdarbības atbalstu, ko piešķir sadarbības iestāde. Kompensācijas saņemšana neierobežo kompensācijas saņēmēja tiesības ārpus šo noteikumu </w:t>
      </w:r>
      <w:r w:rsidR="00000000" w:rsidRPr="00000000" w:rsidDel="00000000">
        <w:rPr>
          <w:rtl w:val="0"/>
        </w:rPr>
        <w:t xml:space="preserve">21.4.</w:t>
      </w:r>
      <w:r w:rsidR="00000000" w:rsidRPr="00000000" w:rsidDel="00000000">
        <w:rPr>
          <w:rtl w:val="0"/>
        </w:rPr>
        <w:t xml:space="preserve">  apakšpunktā minētajiem pienākumiem iesaistīties maksas veselības aprūpes pakalpojumu sniegšanā un citu saimniecisko darbību veikšanā.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komercdarbības atbalsta piešķiršanas brīdi uzskata datumu, kad pieņemts sadarbības iestādes lēmums par komercdarbības atbalsta piešķiršanu.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49.</w:t>
      </w:r>
      <w:r w:rsidR="00000000" w:rsidRPr="00000000" w:rsidDel="00000000">
        <w:rPr>
          <w:rtl w:val="0"/>
        </w:rPr>
        <w:t xml:space="preserve"> punktā minētajiem sadarbības partneriem, kas ir sabiedrisko pakalpojumu sniedzēji, atbilstoši veselības aprūpi reglamentējošajiem normatīvajiem aktiem ir pilnvarojums sabiedrisko pakalpojumu sniegšanai. Pilnvarojums ietver: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pilnvarojuma laiku, kas nepārsniedz 10 gadus;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sabiedrisko pakalpojumu sniegšanas teritoriju;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ar vispārēju tautsaimniecisku nozīmi sniedzējam piešķirto ekskluzīvo vai īpašo tiesību būtību;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iespēju saņemt kompensācijas maksājumus un nosacījumus kompensācijas maksājumu aprēķināšanai, kontrolei un pārskatīšanai, kā arī kompensācijas maksājumu pārmaksas novēršanai un atmaksāšanai;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atsauci uz </w:t>
      </w:r>
      <w:r w:rsidR="00000000" w:rsidRPr="00000000" w:rsidDel="00000000">
        <w:rPr>
          <w:rtl w:val="0"/>
        </w:rPr>
        <w:t xml:space="preserve">Eiropas Komisijas 2011. gada 20. decembra Lēmumu Nr. 2012/21/ES</w:t>
      </w:r>
      <w:r w:rsidR="00000000" w:rsidRPr="00000000" w:rsidDel="00000000">
        <w:rPr>
          <w:rtl w:val="0"/>
        </w:rPr>
        <w:t xml:space="preserve"> par Līguma par Eiropas Savienības darbību 106. panta 2. punkta piemērošanu komercdarbības atbalstam attiecībā uz kompensāciju par sabiedriskajiem pakalpojumiem dažiem uzņēmumiem, kuriem uzticēts sniegt pakalpojumus ar vispārēju tautsaimniecisku nozīmi (turpmāk – Komisijas lēmums Nr. 2012/21/ES).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Pilnvarojuma uzlicējam un šo noteikumu </w:t>
      </w:r>
      <w:r w:rsidR="00000000" w:rsidRPr="00000000" w:rsidDel="00000000">
        <w:rPr>
          <w:rtl w:val="0"/>
        </w:rPr>
        <w:t xml:space="preserve">49.</w:t>
      </w:r>
      <w:r w:rsidR="00000000" w:rsidRPr="00000000" w:rsidDel="00000000">
        <w:rPr>
          <w:rtl w:val="0"/>
        </w:rPr>
        <w:t xml:space="preserve"> punktā minētajam sadarbības partnerim ir pienākums dokumentāciju par saņemto atbalstu glabāt 10 gadus no pilnvarojuma termiņa beigām, savukārt atbalsta sniedzējam, kas nav pilnvarojuma uzlicējs, bet piešķir komercdarbības atbalstu saskaņā ar šīs nodaļas prasībām, ir pienākums dokumentāciju, kas saistīta ar atbalsta piešķiršanu, glabāt 10 gadus no atbalsta piešķiršanas dienas.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saņēmējam ir pienākums iesniegt sadarbības iestādē vispārējas tautsaimnieciskas nozīmes pakalpojuma pilnvarojuma uzlicēja apliecinājumu, ka tas kontrolēs un pārskatīs šo noteikumu </w:t>
      </w:r>
      <w:r w:rsidR="00000000" w:rsidRPr="00000000" w:rsidDel="00000000">
        <w:rPr>
          <w:rtl w:val="0"/>
        </w:rPr>
        <w:t xml:space="preserve">50.5.</w:t>
      </w:r>
      <w:r w:rsidR="00000000" w:rsidRPr="00000000" w:rsidDel="00000000">
        <w:rPr>
          <w:rtl w:val="0"/>
        </w:rPr>
        <w:t xml:space="preserve"> apakšpunktā minētos kompensācijas maksājumus, kā arī novērsīs un atgūs kompensācijas maksājumu pārmaksu.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17.</w:t>
      </w:r>
      <w:r w:rsidR="00000000" w:rsidRPr="00000000" w:rsidDel="00000000">
        <w:rPr>
          <w:rtl w:val="0"/>
        </w:rPr>
        <w:t xml:space="preserve"> punktā minētajām vienreizējām kompensācijām, kas piešķirtas par darbu atbalstāmajā iestādē, kurai ir noteikts deleģējums nodrošināt veselības aprūpes pakalpojumus valsts deleģētās funkcijas īstenošanai, nav uzskatāms par komercdarbības atbalstu.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 minētās vienreizējās kompensācijas nav uzskatāmas par komercdarbības atbalstu, jo kompensācijas saņēmēji vairs nav uzskatāmi par saimnieciskās darbības veicējiem.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ir konstatēts Komisijas lēmuma Nr. 2012/21/ES nosacījumu pārkāpums, šo noteikumu </w:t>
      </w:r>
      <w:r w:rsidR="00000000" w:rsidRPr="00000000" w:rsidDel="00000000">
        <w:rPr>
          <w:rtl w:val="0"/>
        </w:rPr>
        <w:t xml:space="preserve">49.</w:t>
      </w:r>
      <w:r w:rsidR="00000000" w:rsidRPr="00000000" w:rsidDel="00000000">
        <w:rPr>
          <w:rtl w:val="0"/>
        </w:rPr>
        <w:t xml:space="preserve"> punktā minētajam sadarbības partnerim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24-TA-1677</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24-TA-1677</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noteikumu_konsolidētā_versija_24-TA-1677.docx</dc:title>
</cp:coreProperties>
</file>

<file path=docProps/custom.xml><?xml version="1.0" encoding="utf-8"?>
<Properties xmlns="http://schemas.openxmlformats.org/officeDocument/2006/custom-properties" xmlns:vt="http://schemas.openxmlformats.org/officeDocument/2006/docPropsVTypes"/>
</file>