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martā (prot. Nr. 16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7. janvāra noteikumos Nr. 21 "Eiropas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un 14. punktu un </w:t>
      </w:r>
      <w:r w:rsidR="00000000" w:rsidRPr="00000000" w:rsidDel="00000000">
        <w:rPr>
          <w:rStyle w:val="paragraph"/>
          <w:i w:val="1"/>
          <w:rtl w:val="0"/>
        </w:rPr>
        <w:t xml:space="preserve">Attīstības finanšu institūcijas likuma 12.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7. janvāra noteikumos Nr. 21 "Eiropas Savienības kohēzijas politikas programmas 2021.–2027. gadam 2.1.2. specifiskā atbalsta mērķa "Atjaunojamo energoresursu enerģijas veicināšana – biometāns" īstenošanas noteikumi" (Latvijas Vēstnesis, 2025, 6.,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13. un 14. punktu un Attīstības finanšu institūcijas likuma 12.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Lai nodrošinātu finansējumu aizdevuma piešķiršanai, sabiedrība "Altum" var papildus piesaistīt valsts aizdevumu kredītlīnijas veidā līdz 22 000 000 </w:t>
      </w:r>
      <w:r w:rsidR="00000000" w:rsidRPr="00000000" w:rsidDel="00000000">
        <w:rPr>
          <w:i w:val="1"/>
          <w:rtl w:val="0"/>
        </w:rPr>
        <w:t xml:space="preserve">euro</w:t>
      </w:r>
      <w:r w:rsidR="00000000" w:rsidRPr="00000000" w:rsidDel="00000000">
        <w:rPr>
          <w:rtl w:val="0"/>
        </w:rPr>
        <w:t xml:space="preserve"> vai aizņemoties finansējumu no starptautiskajām finanšu institūcijām. Kapitāla atlaidi sedz no 2.1.2. pasākumā piešķirtā publiskā finansējuma. Valsts aizdevumu piešķir kredītlīnijas veidā uz 20 gadiem, tam nepiemēro riska procenta likmi un to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26-TA-241</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26-TA-241</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noteikumu_(grozījumu)_projekts_26-TA-241.docx</dc:title>
</cp:coreProperties>
</file>

<file path=docProps/custom.xml><?xml version="1.0" encoding="utf-8"?>
<Properties xmlns="http://schemas.openxmlformats.org/officeDocument/2006/custom-properties" xmlns:vt="http://schemas.openxmlformats.org/officeDocument/2006/docPropsVTypes"/>
</file>