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w:t>
      </w:r>
      <w:r w:rsidR="00000000" w:rsidRPr="00000000" w:rsidDel="00000000">
        <w:rPr>
          <w:rStyle w:val="paragraph"/>
          <w:i w:val="1"/>
          <w:rtl w:val="0"/>
        </w:rPr>
        <w:t xml:space="preserve"> </w:t>
      </w:r>
      <w:r w:rsidR="00000000" w:rsidRPr="00000000" w:rsidDel="00000000">
        <w:rPr>
          <w:rStyle w:val="paragraph"/>
          <w:i w:val="1"/>
          <w:rtl w:val="0"/>
        </w:rPr>
        <w:t xml:space="preserve">septīto un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24. maija noteikumos Nr. 319 "Kārtība, kādā administrē un uzrauga Eiropas Jūrlietu, zvejniecības un akvakultūras fondu, kā arī valsts atbalstu zvejniecības un akvakultūras attīstībai 2021.–2027. gada plānošanas periodā" (Latvijas Vēstnesis, 2022, 103. nr.; 2023,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Viedās administrācijas un reģionālās attīstības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Fonda finansējumu un valsts budžeta līdzfinansējumu, ja tas ir paredzēts projekta iesniegumā, Lauku atbalsta dienests pārskaita uz atbalsta saņēmēja vai viņa pilnvarota pārstāvja maksājumu kontu, kas atvērts pie Maksājumu pakalpojumu un elektroniskās naudas likuma  2. panta otrās daļas 1., 2., 4., 7. vai 8. punktā minētā maksājumu pakalpojumu sniedzēja, vai valsts budžeta ieņēmumos, ja atbalsta saņēmējs ir valsts budžeta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Regulas 2021/1060 83. panta "a" apakšpunktā minēto pārbaužu īstenošanai Lauku atbalsta dienests izmanto Valsts vides dienesta, Pārtikas drošības, dzīvnieku veselības un vides zinātniskā institūta "BIOR", valsts sabiedrības ar ierobežotu atbildību "Latvijas Jūras administrācija", Valsts tehniskās uzraudzības aģentūras, Valsts ieņēmumu dienesta, Pārtikas un veterinārā dienesta, Dabas aizsardzības pārvaldes, Būvniecības valsts kontroles biroja, valsts sabiedrības ar ierobežotu atbildību "Sertifikācijas un testēšanas centrs" Bioloģiskās lauksaimniecības uzņēmumu sertificēšanas sektora un valsts akciju sabiedrības "Ceļu satiksmes drošības direkcija" atbildības un kompetences jomā notikušo pārbaužu rezultātus, kā arī to rīcībā esošo informāciju, kas nepieciešama fonda atbalsta administrēšanai."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24-TA-2907</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24-TA-2907</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noteikumu_(grozījumu)_projekts_24-TA-2907.docx</dc:title>
</cp:coreProperties>
</file>

<file path=docProps/custom.xml><?xml version="1.0" encoding="utf-8"?>
<Properties xmlns="http://schemas.openxmlformats.org/officeDocument/2006/custom-properties" xmlns:vt="http://schemas.openxmlformats.org/officeDocument/2006/docPropsVTypes"/>
</file>