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akciju sabiedrībai "Attīstības finanšu institūcija Altum" piešķirtā finansējuma izmantošanu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Pret Ukrainu vērstās Krievijas militārās agresijas dēļ piemēroto sankciju un pretpasākumu izraisīto ekonomisko seku pārvarēšanas atbalsta likuma</w:t>
      </w:r>
      <w:r w:rsidR="00000000" w:rsidRPr="00000000" w:rsidDel="00000000">
        <w:rPr>
          <w:rtl w:val="0"/>
        </w:rPr>
        <w:t xml:space="preserve"> 5. panta pirmās daļas 1. punktu, atbalstīt valsts budžeta finansējuma 40 000 000 </w:t>
      </w:r>
      <w:r w:rsidR="00000000" w:rsidRPr="00000000" w:rsidDel="00000000">
        <w:rPr>
          <w:i w:val="1"/>
          <w:rtl w:val="0"/>
        </w:rPr>
        <w:t xml:space="preserve">euro</w:t>
      </w:r>
      <w:r w:rsidR="00000000" w:rsidRPr="00000000" w:rsidDel="00000000">
        <w:rPr>
          <w:rtl w:val="0"/>
        </w:rPr>
        <w:t xml:space="preserve"> apmērā, kas saskaņā ar Covid-19 infekcijas izplatības seku pārvarēšanas likumu piešķirts akciju sabiedrībai "Attīstības finanšu institūcija Altum", novirzīšanu atbalsta pasākumiem, lai pārvarētu pret Ukrainu vērstās Krievijas militārās agresijas dēļ piemēroto sankciju un pretpasākumu izraisītās ekonomiskās sekas, tai skaitā: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aizdevumiem ar kapitāla atlaidi 27 500 000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atbalstam garantiju veidā 12 500 000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"Attīstības finanšu institūcija Altum" drīkst izmantot atbalsta pasākumiem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finansējumu, ja Saeimas Budžeta un finanšu (nodokļu) komisija piecu darbdienu laikā pēc attiecīgās informācijas saņemšanas ir to izskatījusi un nav izteikusi iebildumus.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22-TA-2351</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22-TA-2351</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rīkojuma_projekts_22-TA-2351.docx</dc:title>
</cp:coreProperties>
</file>

<file path=docProps/custom.xml><?xml version="1.0" encoding="utf-8"?>
<Properties xmlns="http://schemas.openxmlformats.org/officeDocument/2006/custom-properties" xmlns:vt="http://schemas.openxmlformats.org/officeDocument/2006/docPropsVTypes"/>
</file>