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Gada pārskatu un konsolidēto gada pārskatu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Gada pārskatu un konsolidēto gada pārskatu likumā (Latvijas Vēstnesis, 2015, 222. nr.; 2017, 253. nr.; 2021, 224. nr.; 2023, 57.A nr.; 2024, nr. 193)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kuras neto apgrozījums bilances datumā pārsniedz 450 000 000 </w:t>
      </w:r>
      <w:r w:rsidR="00000000" w:rsidRPr="00000000" w:rsidDel="00000000">
        <w:rPr>
          <w:i w:val="1"/>
          <w:rtl w:val="0"/>
        </w:rPr>
        <w:t xml:space="preserve">euro</w:t>
      </w:r>
      <w:r w:rsidR="00000000" w:rsidRPr="00000000" w:rsidDel="00000000">
        <w:rPr>
          <w:rtl w:val="0"/>
        </w:rPr>
        <w:t xml:space="preserve"> un kuras vidējais darbinieku skaits pārskata gadā pārsniedz 1 000, vadības ziņojumā sniedz informāciju arī par būtiskiem nemateriālajiem resursiem un paskaidro, kā sabiedrības darbības modelis ir pamatā atkarīgs no šādiem resursiem un kā šie resursi rada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kuras neto apgrozījums bilances datumā pārsniedz 450 000 000</w:t>
      </w:r>
      <w:r w:rsidR="00000000" w:rsidRPr="00000000" w:rsidDel="00000000">
        <w:rPr>
          <w:i w:val="1"/>
          <w:rtl w:val="0"/>
        </w:rPr>
        <w:t xml:space="preserve"> euro </w:t>
      </w:r>
      <w:r w:rsidR="00000000" w:rsidRPr="00000000" w:rsidDel="00000000">
        <w:rPr>
          <w:rtl w:val="0"/>
        </w:rPr>
        <w:t xml:space="preserve">un vidējais darbinieku skaits pārsniedz 1 000 pārskata gada laikā, vadības ziņojuma atsevišķā sadaļā iekļauj skaidri identificējamu ilgtspējas ziņojumu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sabiedrība, kurai nav pienākuma sagatavot  ilgtspējas ziņojumu saskaņā ar Ilgtspējas informācijas atklāšanas likumu, ir brīvprātīgi sagatavojusi ilgtspējas informāciju, vadības ziņojumā norāda, ka ilgtspējas informācija ir sagatavota, piemērojot Eiropas Komisijas noteiktos brīvprātīgās ilgtspējas ziņošanas standartus."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89.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Koncerna mātes sabiedrībai, kuras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kuras vidējais darbinieku skaits pārskata gadā pārsniedz 1 000, ir pienākums konsolidētā vadības ziņojuma atsevišķā sadaļā iekļaut skaidri identificējamu konsolidēto ilgtspējas ziņojumu saskaņā ar Ilgtspējas informācijas atklāšanas likumu."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informatīvo atsauci uz Eiropas Savienības direktīvām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2026. gada 24. februāra direktīvas (ES) 2026/470, ar ko groza Direktīvas 2006/43/EK, 2013/34/ES, (ES) 2022/2464 un (ES) 2024/1760 attiecībā uz konkrētām korporatīvās ilgtspējas ziņu sniegšanas prasībām un konkrētām korporatīvās ilgtspējas pienācīgas rūpības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26-TA-896</w:t>
    </w:r>
    <w:r>
      <w:br/>
    </w:r>
    <w:r w:rsidR="00000000" w:rsidRPr="00000000" w:rsidDel="00000000">
      <w:rPr>
        <w:rtl w:val="0"/>
      </w:rPr>
      <w:t xml:space="preserve">Izdrukāts 31.08.2026. 10.27 - 1.0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26-TA-896</w:t>
    </w:r>
    <w:r>
      <w:br/>
    </w:r>
    <w:r w:rsidR="00000000" w:rsidRPr="00000000" w:rsidDel="00000000">
      <w:rPr>
        <w:rtl w:val="0"/>
      </w:rPr>
      <w:t xml:space="preserve">Izdrukāts 31.08.2026. 10.27 - 1.0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likumprojekts_(grozījumi)_26-TA-896.docx</dc:title>
</cp:coreProperties>
</file>

<file path=docProps/custom.xml><?xml version="1.0" encoding="utf-8"?>
<Properties xmlns="http://schemas.openxmlformats.org/officeDocument/2006/custom-properties" xmlns:vt="http://schemas.openxmlformats.org/officeDocument/2006/docPropsVTypes"/>
</file>