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br/>
      </w:r>
      <w:r w:rsidR="00000000" w:rsidRPr="00000000" w:rsidDel="00000000">
        <w:rPr>
          <w:rStyle w:val="paragraph"/>
          <w:i w:val="1"/>
          <w:rtl w:val="0"/>
        </w:rPr>
        <w:t xml:space="preserve">5.panta septīto, astoto un devīto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 (Latvijas Vēstnesis, 2014, 200. nr.; 2015, 130. nr.; 2016, 80. nr.; 2021, 92. nr.; 2022, 166. nr.; 2023, 90.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Valsts vides dienests, Valsts tehniskās uzraudzības aģentūra, Valsts meža dienests, Valsts ieņēmumu dienests, Valsts augu aizsardzības dienests, Pārtikas un veterinārais dienests, Dabas aizsardzības pārvalde, Būvniecības valsts kontroles birojs, normatīvajos aktos par bioloģiskās lauksaimniecības uzraudzības un kontroles kārtību noteiktās kontroles institūcijas nodrošina Lauku atbalsta dienestu ar nepieciešamo informāciju un pārbaudēm savas atbildības un kompetences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Zemkopības ministrijas un tās padotībā esošo iestāžu koplietošanas informācijas sistēmu un informācijas un komunikāciju tehnoloģiju infrastruktūru uztur un attīsta Lauku atbalsta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divus Viedās administrācijas un reģionālās attīstības ministrijas pārstāvjus;".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divus Viedās administrācijas un reģionālās attīstības ministrijas pārstāvjus;".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Šo noteikumu 1.1. apakšpunktā minētā fonda finansējumu un, ja tas ir paredzēts projekta iesniegumā, valsts budžeta finansējumu, Lauku atbalsta dienests bezskaidras naudas norēķinu veidā pārskaita uz atbalsta saņēmēja maksājumu kontu, kas atvērts pie maksājumu pakalpojumu sniedzēja saskaņā ar Maksājumu pakalpojumu un elektroniskās naudas likuma 2. panta otrās daļas 1., 2., 4., 7. un 8. punktu. Ja atbalsta maksājums ir paredzēts pasākumu projektam valsts un Eiropas Savienības atbalsta lauku un zivsaimniecības attīstībai ietvaros (atklātu projektu iesniegumu konkursu un vienreizēju maksājumu veidā), tad maksājumu pārskaita bezskaidras naudas norēķinu veidā uz atbalsta saņēmēja maksājumu kontu, kas atvērts pie maksājumu pakalpojumu sniedzēja saskaņā ar Maksājumu pakalpojumu un elektroniskās naudas likuma 2. panta otrās daļas 1., 2., 4., 7. un 8. punktu, atbilstoši kārtībai, kādā Valsts kase nodrošina maksājumu pakalpojumu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44.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Lauku atbalsta dienestam ir tiesības aizkavēt maksājumu atbalsta saņēmējam vai tā ieskaitīšanu valsts budžeta ieņēmumos līdz brīdim, kad ieplānota atmaksa valsts budžetā vai budžeta apropriācija pārdalīta starp programmām, apakšprogrammām un budžeta izdevumu kodiem atbilstoši ekonomiskajām kategorijām."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24-TA-2912</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24-TA-2912</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noteikumu_(grozījumu)_projekts_24-TA-2912.docx</dc:title>
</cp:coreProperties>
</file>

<file path=docProps/custom.xml><?xml version="1.0" encoding="utf-8"?>
<Properties xmlns="http://schemas.openxmlformats.org/officeDocument/2006/custom-properties" xmlns:vt="http://schemas.openxmlformats.org/officeDocument/2006/docPropsVTypes"/>
</file>