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jūlijā (prot. Nr. 28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2.3.1. specifiskā atbalsta mērķa "Veicināt ilgtspējīgu daudzveidu mobilitāti pilsētās" 2.3.1.3. pasākuma  "Veloinfrastruktūras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prioritārā virziena "Ilgtspējīga mobilitāte" 2.3.1. specifiskā atbalsta mērķa "Veicināt ilgtspējīgu daudzveidu mobilitāti pilsētās" 2.3.1.3. pasākumu "Veloinfrastruktūras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attīstīt nepārtrauktu velosipēdu ceļu, tostarp kopīgu gājēju un velosipēdu ceļu, infrastruktūras izveidi gar autoceļiem un dzelzceļiem, veicinot nemotorizēto mobilitāti.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satiksmes dalībnieki un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Pasākumam plānotais kopējais finansējums ir 26 461 636 </w:t>
      </w:r>
      <w:r w:rsidR="00000000" w:rsidRPr="00000000" w:rsidDel="00000000">
        <w:rPr>
          <w:i w:val="1"/>
          <w:rtl w:val="0"/>
        </w:rPr>
        <w:t xml:space="preserve">euro</w:t>
      </w:r>
      <w:r w:rsidR="00000000" w:rsidRPr="00000000" w:rsidDel="00000000">
        <w:rPr>
          <w:rtl w:val="0"/>
        </w:rPr>
        <w:t xml:space="preserve"> (no tā elastības finansējums 4 173 671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22 492 390 </w:t>
      </w:r>
      <w:r w:rsidR="00000000" w:rsidRPr="00000000" w:rsidDel="00000000">
        <w:rPr>
          <w:i w:val="1"/>
          <w:rtl w:val="0"/>
        </w:rPr>
        <w:t xml:space="preserve">euro</w:t>
      </w:r>
      <w:r w:rsidR="00000000" w:rsidRPr="00000000" w:rsidDel="00000000">
        <w:rPr>
          <w:rtl w:val="0"/>
        </w:rPr>
        <w:t xml:space="preserve"> (no tā elastības finansējums 3 547 620 </w:t>
      </w:r>
      <w:r w:rsidR="00000000" w:rsidRPr="00000000" w:rsidDel="00000000">
        <w:rPr>
          <w:i w:val="1"/>
          <w:rtl w:val="0"/>
        </w:rPr>
        <w:t xml:space="preserve">euro</w:t>
      </w:r>
      <w:r w:rsidR="00000000" w:rsidRPr="00000000" w:rsidDel="00000000">
        <w:rPr>
          <w:rtl w:val="0"/>
        </w:rPr>
        <w:t xml:space="preserve">) un nacionālais finansējums (valsts budžeta finansējums) 3 969 246 </w:t>
      </w:r>
      <w:r w:rsidR="00000000" w:rsidRPr="00000000" w:rsidDel="00000000">
        <w:rPr>
          <w:i w:val="1"/>
          <w:rtl w:val="0"/>
        </w:rPr>
        <w:t xml:space="preserve">euro</w:t>
      </w:r>
      <w:r w:rsidR="00000000" w:rsidRPr="00000000" w:rsidDel="00000000">
        <w:rPr>
          <w:rtl w:val="0"/>
        </w:rPr>
        <w:t xml:space="preserve"> (no tā elastības finansējums 626 051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pieejamais kopējais attiecināmais finansējums līdz 2025. gada 31. decembrim ir 22 287 965 </w:t>
      </w:r>
      <w:r w:rsidR="00000000" w:rsidRPr="00000000" w:rsidDel="00000000">
        <w:rPr>
          <w:i w:val="1"/>
          <w:rtl w:val="0"/>
        </w:rPr>
        <w:t xml:space="preserve">euro</w:t>
      </w:r>
      <w:r w:rsidR="00000000" w:rsidRPr="00000000" w:rsidDel="00000000">
        <w:rPr>
          <w:rtl w:val="0"/>
        </w:rPr>
        <w:t xml:space="preserve">, tai skaitā ERAF finansējums 18 944 770 </w:t>
      </w:r>
      <w:r w:rsidR="00000000" w:rsidRPr="00000000" w:rsidDel="00000000">
        <w:rPr>
          <w:i w:val="1"/>
          <w:rtl w:val="0"/>
        </w:rPr>
        <w:t xml:space="preserve">euro </w:t>
      </w:r>
      <w:r w:rsidR="00000000" w:rsidRPr="00000000" w:rsidDel="00000000">
        <w:rPr>
          <w:rtl w:val="0"/>
        </w:rPr>
        <w:t xml:space="preserve">un nacionālais finansējums (valsts budžeta finansējums) 3 343 195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Maksimālais attiecināmais ERAF finansējuma apmērs ir 85 % no projektam plānotā kopējā attiecināmā finansējuma. Nacionālais līdzfinansējums (valsts budžeta finansējums) nav mazāks par 15 %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2026. gada 1. janvāra atbildīgā iestāde atbilstoši Eiropas Komisijas lēmumam par vidusposma pārskatu var ierosināt sadarbības iestādei palielināt projektam pieejamo ERAF finansējumu līdz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apmēram, nepārsniedzot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maksimālo ERAF finansējuma intensitāti.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īsteno līdz 2029. gada 31. decembrim, sasniedzot šādus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atdalītas jaunizbūvētas vai būtiski uzlabotas veloceļu infrastruktūras garums ir 60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atdalītas riteņbraukšanas infrastruktūras lietotāju skaits gadā ir 5 820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ERAF finansējumu piešķir granta veidā,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paredzētajā termiņā ir sasniegts projektā paredzētais iznākuma rādītājs;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nedrīkst iekļaut darbības, kas ir pabeigtas līdz projekta iesnieguma iesniegšanas dienai.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Iznākuma rādītājs ir sasniegts, kad saistībā ar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minēto veloceļu infrastruktūru ir izbūvētas visas projektā paredzētas būves, tās ir nodotas ekspluatācijā normatīvajos aktos būvniecības jomā noteiktajā kārtībā un projekts ir pabeigts.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ir Satiksmes ministrija, kuras vārdā atbilstoši likuma "</w:t>
      </w:r>
      <w:r w:rsidR="00000000" w:rsidRPr="00000000" w:rsidDel="00000000">
        <w:rPr>
          <w:rtl w:val="0"/>
        </w:rPr>
        <w:t xml:space="preserve">Par autoceļiem</w:t>
      </w:r>
      <w:r w:rsidR="00000000" w:rsidRPr="00000000" w:rsidDel="00000000">
        <w:rPr>
          <w:rtl w:val="0"/>
        </w:rPr>
        <w:t xml:space="preserve">" 7. panta trešajai daļai un Satiksmes ministrijas deleģēšanas līgumam darbojas valsts sabiedrība ar ierobežotu atbildību "Latvijas Valsts ceļi", kas veiks Satiksmes ministrijas kā Eiropas Savienības fondu projekta iesniedzēja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kas pēc projekta iesnieguma apstiprināšanas ir finansējuma saņēmējs (turpmāk – finansējuma saņēmējs), sagatavo vienu projekta iesniegumu atbilstoši projekta iesnieguma atlases nolikumā noteiktajām prasībām, ņemot vērā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plānoto kopējo finansējumu un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sasniedzamos rādītājus. Projekta iesniegumu iesniedz Kohēzijas politikas fondu vadības informācijas sistēmā, pievienojot projektam veikto izmaksu un ieguvumu analīzi.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atbalstāmās darbības ir investīciju veikšana velosipēdu ceļu, tostarp kopīgu gājēju un velosipēdu ceļu, infrastruktūrā gar autoceļiem un dzelzceļiem, izbūvējot, pārbūvējot un atjaunojot velosipēdu ceļu, tostarp kopīgu gājēju un velosipēdu ceļu, infrastruktūru.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tajā skaitā izmaksu un ieguvumu analīzes izstrādes izmaksas un tehniski ekonomiskā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obligāto prasību nodrošināšanas izmaksas, tai skaitā ietekmes uz vidi novērtējuma izmaksas, ciktāl to paredz normatīvie akti vides aizsardzības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drošības audita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apliecinājuma kartes (ja tā izstrādāta līdz 2021. gada 10. augustam), paskaidrojuma raksta un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jaunas būves būvniecības, esošas būves pārbūves un atjaunošanas izmaksas atbilstoši būvprojektam: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būvlaukuma ierīkošanas un novākšanas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velosipēdu ceļi, tilti, tostarp satiksmes pārvadi;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velosipēdu ielas, attiecinot tikai to izmaksu daļu, kas atbilst atbalstam velosipēdu ceļu infrastruktūrai;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velosipēdu un gājēju ceļu, tai skaitā noejas rampu, velonovietņu, velosipēdu satiksmes intensitātes automātiskās uzskaites sistēmas, video novērošanas sistēmas un pārējās ar velosipēdu ceļu infrastruktūras izbūvi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labiekārtošanas izmaksas atbilstoši būvprojekta risinājumam, lai nodrošinātu velosipēdu ceļu, tostarp kopīgu gājēju un velosipēdu ceļu, pilnvērtīgu integrēšanu piegulošajā teritorijā;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ceļu satiksmes organizācijas tehnisko līdzekļu (tai skaitā ceļa zīmes, luksofori, signālstabiņi, aizsargbarjeras, vertikālie un horizontālie ceļa apzīmējumi) uzstādīšanas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transportbūvju un ielu tīklam piegulošo inženiertīklu būvniecības izmaksas. Izmaksas attiecināmas tikai tādā gadījumā, ja ir sertificēta būvinženiera ekspertīzes atzinums par to, ka projekta ietvaros, veicot plānotos ieguldījumus noteiktās teritorijās, nav iespējams izvairīties no minētās infrastruktūras bojāšanas vai pārcelšanas, vienlaikus nodrošinot, ka netiek mainīti inženiertīklu tehniskie parametri un investīcijas nerada priekšrocības šo inženiertīklu īpašniekam;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attiecīgo būvspeciālistu apdrošināšanas un normatīvajos aktos būvniecības jomā noteiktās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vides un informācijas piekļūstamības nodrošināšanas izmaksas atbilstoši būvprojektam, tai skaitā vides un informācijas ekspertu  konsultāciju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komunikācijas un vizuālās identitātes pasākumu izmaksas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nekustamā īpašuma iegādes izmaksas ne vairāk kā 10 % apmērā no attiecināmo izmaksu kopsummas, ja nekustamā īpašuma iegāde ir nepieciešama un tieši saistīta ar projektā paredzēto darbību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19.9. </w:t>
      </w:r>
      <w:r w:rsidR="00000000" w:rsidRPr="00000000" w:rsidDel="00000000">
        <w:rPr>
          <w:rtl w:val="0"/>
        </w:rPr>
        <w:t xml:space="preserve">apakšpunktā</w:t>
      </w:r>
      <w:r w:rsidR="00000000" w:rsidRPr="00000000" w:rsidDel="00000000">
        <w:rPr>
          <w:rtl w:val="0"/>
        </w:rPr>
        <w:t xml:space="preserve"> minētās izmaksas kopā nepārsniedz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7 % apmērā no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 minētajām tiešajām attiecināmajām izmaksām. Netiešās izmaksas ir tādas, kas nav noteiktas kā tiešās, bet ir tieši saistītas ar projekta īstenošanu un nepieciešamas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ietvaros radušās izmaksas ir attiecināmas finansēšanai,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atbilst šajos noteikumos minētajam mērķim, atbalstāmajām darbībām un īstenošanas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atbilst šajos noteikumos noteiktajām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nepārsniedz šo noteikumu </w:t>
      </w:r>
      <w:r w:rsidR="00000000" w:rsidRPr="00000000" w:rsidDel="00000000">
        <w:rPr>
          <w:rtl w:val="0"/>
        </w:rPr>
        <w:t xml:space="preserve">19.12.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minētos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nepārsniedz pasākuma ietvaros plānoto kopējo finansējumu saskaņā ar šo noteikumu </w:t>
      </w:r>
      <w:r w:rsidR="00000000" w:rsidRPr="00000000" w:rsidDel="00000000">
        <w:rPr>
          <w:rtl w:val="0"/>
        </w:rPr>
        <w:t xml:space="preserve">4.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nav radušās agrāk par 2022. gada 25. novembri, izņemot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19.4. </w:t>
      </w:r>
      <w:r w:rsidR="00000000" w:rsidRPr="00000000" w:rsidDel="00000000">
        <w:rPr>
          <w:rtl w:val="0"/>
        </w:rPr>
        <w:t xml:space="preserve">apakšpunktā</w:t>
      </w:r>
      <w:r w:rsidR="00000000" w:rsidRPr="00000000" w:rsidDel="00000000">
        <w:rPr>
          <w:rtl w:val="0"/>
        </w:rPr>
        <w:t xml:space="preserve"> minētās izmaksas, kas ir attiecināmas, ja tās radušās pēc 2021. gada 1. janvāra;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tās nav radušās vēlāk par termiņu, ko nosaka līgums par projekta īstenošanu, bet ne vēlāk kā 2029. gada 31. decembrī;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ir pieejami visi izmaksas pamatojošie dokumenti;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ir sasniegts pasākuma iznākuma rādītājs.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nodoklis uzskatāms par attiecināmām izmaksām saskaņā ar </w:t>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  64. panta 1. punkta "c" apakšpunktā ietvertajiem nosacījumiem, ja vien tās nav atgūstamas saskaņā ar valsts normatīvajiem aktiem pievienotās vērtības nodokļa 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projektu īsteno saskaņā ar noslēgto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 vērā, ka atbalstāma ir atdalītas velosipēdu ceļu, tostarp kopīgu gājēju un velosipēdu ceļu, infrastruktūras izveide gar autoceļiem un dzelzceļiem atbilstoši Valsts mikromobilitātes infrastruktūras attīstības stratēģijai;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velosipēdu ceļu, tostarp kopīgu gājēju un velosipēdu ceļu, infrastruktūras maršrutu savienojamību – maršruti pēctecīgi turpinās un nodrošina savienojamību starp apdzīvotām teritorijām, piekļuvi sabiedriskajam transportam un mobilitātes punktiem, papildinot multimodālo savienojumu sniegtās iespējas;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projektā sasniegtajiem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horizontālā principa rādītāju – objektu skaitu, kuros ERAF/KF ieguldījumu rezultātā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projekta ietekmi uz horizontālo principu rādītājiem (ja attiecināms) un ievēro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 </w:t>
      </w:r>
      <w:r w:rsidR="00000000" w:rsidRPr="00000000" w:rsidDel="00000000">
        <w:rPr>
          <w:rtl w:val="0"/>
        </w:rPr>
        <w:t xml:space="preserve">apakšpunktā</w:t>
      </w:r>
      <w:r w:rsidR="00000000" w:rsidRPr="00000000" w:rsidDel="00000000">
        <w:rPr>
          <w:rtl w:val="0"/>
        </w:rPr>
        <w:t xml:space="preserve"> minētajiem horizontālo principu rādītājiem un par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rādītāju vērtību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projektā plānotās attiecināmās izmaksas netiek finansētas vai līdzfinansētas, kā arī tās nav plānots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projekta īstenošanas laikā nekustamie īpašumi, kuri nepieciešami projekta īstenošanai, ir finansējuma saņēmēja īpašumā vai arī būvniecība tiek veikta uz lietošanas, valdījuma vai uz zemesgrāmatā ierakstītas lietu tiesības pamata, saskaņojot būvniecības ieceri ar projekta īstenošanai nepieciešamo nekustamo īpašumu īpašniekiem atbilstoši normatīvo aktu nosacījumiem būvniecības jomā. Finansējuma saņēmēja tiesībām uz konkrēto īpašumu jābūt nostiprinātām zemesgrāmatā;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komunikācijas un vizuālās identitātes prasības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interešu konflikta neesību saskaņā ar </w:t>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panta prasībām, kā arī paraksta interešu konflikta neesības apliecinājumu;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normatīvajiem aktiem publisko iepirkumu jomā, īstenojot atklātu, pārredzamu, nediskriminējošu un konkurenci nodrošinošu konkursa procedūru. Atbalstāms ir zaļais publiskais iepirkums (vides prasību integrācija preču un pakalpojumu iepirkumos) un sociāli atbildīgs iepirkums;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projekta īstenošanā radīto vērtību uzturēšanu, laikus plānojot uzturēšanas un periodiskus nodilušo konstrukciju atjaunošanas darbus un finansējumu šiem darbiem turpmākos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glabā projekta dokumentāciju un nodrošina tai pieejamību visā projekta īstenošanas laikā un uzraudzības periodā, kas nepārsniedz piecus gadus pēc pēdējā noslēguma maksājuma veikšanas finansējuma saņēmējam.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23-TA-2619</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23-TA-2619</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noteikumu_projekts_23-TA-2619.docx</dc:title>
</cp:coreProperties>
</file>

<file path=docProps/custom.xml><?xml version="1.0" encoding="utf-8"?>
<Properties xmlns="http://schemas.openxmlformats.org/officeDocument/2006/custom-properties" xmlns:vt="http://schemas.openxmlformats.org/officeDocument/2006/docPropsVTypes"/>
</file>