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(turpmāk – pasākums) projektu iesniegumu pirmo un otro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un otrās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atlases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(turpmāk – projekta iesniedzējs),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dabas aizsardzību un bioloģisko daudzveidību, izstrādājot īpaši aizsargājamo dabas teritoriju dabas aizsardzības plānus.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un otrās atlases kārtas mērķteritorijas ir īpaši aizsargājamās dabas teritorijas, kurām saskaņā ar Viedās administrācijas un reģionālās attīstības ministrijas  izveidotās dabas aizsardzības plānu izvērtēšanas komisijas lēmumu dabas aizsardzības plāni ir izstrādājami prioritāri.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17.06.2025. noteikumu Nr. 366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un otrās atlases kārtas mērķa grupa ir dabas un vides aizsardzības, uzraudzības un kontroles institūcijas, pašvaldības, kuru teritorijā atrodas īpaši aizsargājamās dabas teritorijas, kā arī šo teritoriju īpašnieki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pirmo un otro atlases kārtu īsteno līdz 2027. gada 31. decembrim, sasniedzot iznākuma rādītāju – </w:t>
      </w:r>
      <w:r w:rsidR="00000000" w:rsidRPr="00000000" w:rsidDel="00000000">
        <w:rPr>
          <w:i w:val="1"/>
          <w:rtl w:val="0"/>
        </w:rPr>
        <w:t xml:space="preserve">Natura 2000</w:t>
      </w:r>
      <w:r w:rsidR="00000000" w:rsidRPr="00000000" w:rsidDel="00000000">
        <w:rPr>
          <w:rtl w:val="0"/>
        </w:rPr>
        <w:t xml:space="preserve"> teritoriju platība, uz kuru attiecas aizsardzības un atjaunošanas pasākumi, – 49 900 hektāri (pirmajā atlases kārtā – 32 900 hektāri, otrajā atlases kārtā – 17 000 hektāri).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iznākuma rādītāja vērtībā ieskaita arī īpaši aizsargājamās teritorijas platību, kurai ir izstrādāts dabas aizsardzības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atlases kārtu īsteno ierobežotas projektu iesniegumu atlases veidā, bet pasākuma otro atlases kārtu –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Viedās administrācijas un reģionālās attīstības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17.06.2025. noteikumu Nr. 366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atlases kārtas īstenošanai plānotais un pieejamais kopējais attiecināmais finansējums ir vismaz 2 941 177 </w:t>
      </w:r>
      <w:r w:rsidR="00000000" w:rsidRPr="00000000" w:rsidDel="00000000">
        <w:rPr>
          <w:i w:val="1"/>
          <w:rtl w:val="0"/>
        </w:rPr>
        <w:t xml:space="preserve">euro</w:t>
      </w:r>
      <w:r w:rsidR="00000000" w:rsidRPr="00000000" w:rsidDel="00000000">
        <w:rPr>
          <w:rtl w:val="0"/>
        </w:rPr>
        <w:t xml:space="preserve">, tai skaitā Eiropas Reģionālās attīstības fonda finansējums – 2 500 000 </w:t>
      </w:r>
      <w:r w:rsidR="00000000" w:rsidRPr="00000000" w:rsidDel="00000000">
        <w:rPr>
          <w:i w:val="1"/>
          <w:rtl w:val="0"/>
        </w:rPr>
        <w:t xml:space="preserve">euro</w:t>
      </w:r>
      <w:r w:rsidR="00000000" w:rsidRPr="00000000" w:rsidDel="00000000">
        <w:rPr>
          <w:rtl w:val="0"/>
        </w:rPr>
        <w:t xml:space="preserve"> un nacionālais līdzfinansējums, ko veido valsts budžeta līdzfinansējums, – 441 177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otrās atlases kārtas īstenošanai plānotais un pieejamais kopējais attiecināmais finansējums ir 1 993 250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1 694 262 </w:t>
      </w:r>
      <w:r w:rsidR="00000000" w:rsidRPr="00000000" w:rsidDel="00000000">
        <w:rPr>
          <w:i w:val="1"/>
          <w:rtl w:val="0"/>
        </w:rPr>
        <w:t xml:space="preserve">euro</w:t>
      </w:r>
      <w:r w:rsidR="00000000" w:rsidRPr="00000000" w:rsidDel="00000000">
        <w:rPr>
          <w:rtl w:val="0"/>
        </w:rPr>
        <w:t xml:space="preserve"> un nacionālais līdzfinansējums, ko veido pašvaldību budžeta līdzfinansējums, – vismaz 298 988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17.06.2025. noteikumu Nr. 366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pirmajā un otrajā atlases kārtā atbalsts tiek sniegts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pirmajā atlases kārtā attiecināmais Eiropas Reģionālās attīstības fonda finansējuma apmērs nepārsniedz 85 procentus no projekta kopējā attiecināmā finansējuma, un valsts budžeta līdzfinansējums ir vismaz 15 procenti no projekta kopējā attiecināmā finansējuma, bet pasākuma otrajā atlases kārtā attiecināmais Eiropas Reģionālās attīstības fonda finansējuma apmērs nepārsniedz 85 procentus no projekta kopējā attiecināmā finansējuma, un pašvaldības budžeta līdzfinansējums ir vismaz 15 procenti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otrajā atlases kārtā netiek izmantots viss kārtai atvēlētais Eiropas Reģionālās attīstības fonda finansējums, neizmantotā finansējuma daļa, ja nepieciešams, tiek novirzīta projekta pirmās atlases kārtas darbībām vai arī tiek pārdalīta citu 2.2.3. specifiskā atbalsta mērķa "Uzlabot dabas aizsardzību un bioloģisko daudzveidību, "zaļo" infrastruktūru, it īpaši pilsētvidē, un samazināt piesārņojumu"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iesniegumā minimālais plānotais attiecināmo izmaksu apmērs nav mazāks par 200 000 (ieskaitot)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17.06.2025. noteikumu Nr. 366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Vienā projektā iekļauj viena vai vairāku īpaši aizsargājamu dabas teritoriju dabas aizsardzības plānu izstrādi.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pirmās un otrās atlases kārtas ietvaros vienas īpaši aizsargājamas dabas teritorijas dabas aizsardzības plāna izstrāde tiek iekļauta vienā projektā.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sadarbības partnerim (ja to pieaicina)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kas pēc projekta iesnieguma apstiprināšanas ir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ir tiešās pārvaldes iestāde, kuras kompetencē ir dabas aizsardzības politikas īstenošana sugu un biotopu aizsardzības jomā, – Dabas aizsardzības pārvalde;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ir pašvaldība vai tās iestāde, kuras teritorijā atrodas īpaši aizsargājamā dabas teritorija, kurai prioritāri izstrādājams dabas aizsardzības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otrās atlases kārtas ietvaros, slēdzot rakstisku sadarbības līgumu par pušu pienākumiem, tiesībām un atbildību projekta mērķa un rādītāju sasniegšanā un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minēto prasību nodrošināšanā atbilstoši normatīvajiem aktiem par kārtību, kādā Eiropas Savienības fondu vadībā iesaistītās institūcijas nodrošina šo fondu ieviešanu 2021.–2027. gada plānošanas periodā, var piesaistīt citu pašvaldību vai tās iestādi, kuras teritorijās atrodas īpaši aizsargājamā dabas teritorija, kurai prioritāri izstrādājams dabas aizsardzības plāns un par kuru tiek sagatavots vienots projekta iesniegums.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kopā ar sadarbības partneri (ja attiecināms) plāno projektā sasniedzamos uzraudzības rādītājus un Eiropas Reģionālās attīstības fonda finansējumu atbilstoši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noteiktajiem rādītājiem un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pieejamajam finansējumam.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Pirmajā un otrajā projekta atlases kārtā projekta  iesniedzējs iesniedz vienu vai vairākus projektu iesniegumus.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un sadarbības partneris: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projekta mērķa, rezultātu un rādītāju sasniegšanu tādā apjomā, kā noteikts sadarbības līgumā;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iesaistās projekta īstenošanā ar saviem resursiem, tai skaitā finansējumu.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projekta iesniedzējs pirmās atlases kārtas ietvaros plāno iesniegt vairākus projektu iesniegumus, tas nodrošina, ka visi projekti kopā sasniedz pirmajai atlases kārtai noteiktos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minētos iznākuma rādītājus un nepārsniedz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minēto finansējuma apjomu.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kopīgi ar sadarbības partneri (ja attiecināms) saskaņā ar projektu iesniegumu atlases nolikuma prasībām elektroniski sagatavo projekta iesniegumu un iesniedz sadarbības iestādē, izmantojot Kohēzijas politikas fondu vadības informācijas sistēmu.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Projekta iesniedzējs otrajā projektu atlases kārtā kopā ar projekta iesniegumu iesniedz ar Dabas aizsardzības pārvaldi saskaņotu darba uzdevumu īpaši aizsargājamas dabas teritorijas dabas aizsardzības plāna izstrādei, kas nav vecāks par 12 mēnešiem.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atbalstāmās darbības bioloģiskās daudzveidības saglabāšanai un ekosistēmu aizsardzībai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plānu izstrāde īpaši aizsargājamām dabas teritorijām;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komunikācijas un vizuālās identitātes prasību nodrošināšanas pasākumi, tai skaitā sabiedrību izglītojoši vai dabas izglītības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vadības, īstenošanas un uzraudzības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Atlases kārtas ietvaros projektiem plāno tiešās un 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Tiešās attiecināmās izmaksas ietver šādas izmaksu pozīcijas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pakalpojumu līgumu izmaksas šo noteikumu </w:t>
      </w:r>
      <w:r w:rsidR="00000000" w:rsidRPr="00000000" w:rsidDel="00000000">
        <w:rPr>
          <w:rtl w:val="0"/>
        </w:rPr>
        <w:t xml:space="preserve">25.1.</w:t>
      </w:r>
      <w:r w:rsidR="00000000" w:rsidRPr="00000000" w:rsidDel="00000000">
        <w:rPr>
          <w:rtl w:val="0"/>
        </w:rPr>
        <w:t xml:space="preserve"> un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minētajām atbalstāmajām darbībām, izņemot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noteiktās izmaksas, ja šo pakalpojumu iepirkumu procedūras tiek veiktas saskaņā ar Publisko iepirkumu likumu;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tiešās attiecināmās projekta vadības un īstenošanas personāla izmaksas, kuras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55. panta 1. punktu projekta iesniegumā plāno kā vienu izmaksu pozīciju, piemērojot izmaksu vienoto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iesniegumu pirmajā atlases kārtā 17 % apmērā no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iesniegumu otrajā atlases kārtā 13 % apmērā no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minētajām tiešajām attiecināmajām izmaksām, kas nav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aprīkojuma un licenču iegādes vai to nomas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metodikā "Vienas vienības izmaksu standarta likmes aprēķina un piemērošanas metodika 1 km izmaksām darbības programmas "Izaugsme un nodarbinātība" un Eiropas Savienības kohēzijas politikas programmas 2021.–2027. gadam īstenošanai" iekļautajiem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jaunradītu darba vietu aprīkojuma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projekta darbībām tieši saistīto komunikācijas un vizuālās identitātes prasību nodrošināšanas izmaksas, nepārsniedzot vienu procentu no plānotajām projekta kopējām tiešajām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ievērošanas izmaksas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minētās darbības īstenošanai – zīmju valodas tulku, vieglās valodas tulkošanas, reāllaika transkripcijas un subtitru nodrošināšanas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04.06.2024. noteikumiem Nr. 332)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Neparedzētie izdevumi nepārsniedz trīs procentus no plānotajām projekta kopējām tiešajām attiecināmajām izmaksām. Neparedzēto izdevumu izlietošanu finansējuma saņēmējs saskaņo ar sadarbības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Projekta netiešās attiecināmās izmaksas plāno kā vienu izmaksu pozīciju, piemērojot netiešo izmaksu vienoto likmi 15 procentu apmērā no šo noteikumu </w:t>
      </w:r>
      <w:r w:rsidR="00000000" w:rsidRPr="00000000" w:rsidDel="00000000">
        <w:rPr>
          <w:rtl w:val="0"/>
        </w:rPr>
        <w:t xml:space="preserve">27.2.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attiecināmām izmaksām saskaņā ar regulas Nr. 2021/1060 64. panta 1. punkta "c" apakšpunktu, ja vien tie nav atgūstami saskaņā ar nacionālajiem tiesību aktiem pievienotās vērtības nodokļa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izmaksas ir attiecināmas no 2023. gada 1. janvāra, taču projekta darbības nevar būt pabeigtas pirms projekta iesnieguma iesniegšanas sadarbības iestādē.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atlases kārtu un 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pasākuma pirmās atlases kārtas ietvaros lēmumu par projekta apstiprināšanu, apstiprināšanu ar nosacījumu vai noraidīšanu pieņem viena mēneša laikā pēc projekta iesnieguma iesniegšanas beigu datuma, bet otrās kārtas ietvaros – triju mēnešu laikā pēc projekta iesnieguma iesniegšanas beigu datuma.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pirmās un otrās atlases kārtas ietvaros projektu īsteno saskaņā ar vienošanos vai līgumu par projekta īstenošanu, bet ne ilgāk kā līdz 2027.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Projekta ietvaros iepirkumus veic saskaņā ar publiskos iepirkumus regulējošo normatīvo aktu prasībām, īstenojot atklātu, pārredzamu, nediskriminējošu un konkurenci neierobežojošu procedūru.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attiecināms, projekta ietvaros, veicot iepirkumus, nodrošina vides prasību integrāciju preču un pakalpojumu iepirkumos (zaļais publiskais iepirkums), kā arī publiskos iepirkumus īsteno sociāli atbildīgā veidā, piemērojot sociāli atbildīgā publiskā iepirkuma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Īstenojot projektu, finansējuma saņēmējs un sadarbības partneris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dabas aizsardzības plānus saskaņā ar normatīvajiem aktiem par īpaši aizsargājamās dabas teritorijas dabas aizsardzības plāna saturu un izstrādes kārtību;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w:t>
      </w:r>
      <w:r w:rsidR="00000000" w:rsidRPr="00000000" w:rsidDel="00000000">
        <w:rPr>
          <w:rtl w:val="0"/>
        </w:rPr>
        <w:t xml:space="preserve">2021/1060</w:t>
      </w:r>
      <w:r w:rsidR="00000000" w:rsidRPr="00000000" w:rsidDel="00000000">
        <w:rPr>
          <w:rtl w:val="0"/>
        </w:rPr>
        <w:t xml:space="preserve"> 47. un 50. pantā un saskaņā ar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savā tīmekļvietnē ne retāk kā reizi sešos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sedz projekta izmaksu pieaugumu otrās atlases kārtas ietvaros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projektā plānotie darbi netiek finansēti vai līdzfinansēti un tos nav plānots finansēt vai līdzfinansēt no citiem valsts vai ārvalstu finanšu atbalsta instrumentiem, kā arī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izstrādā nosacījumus, kā arī pārliecinās par interešu konflikta, krāpšanas un korupcijas risku neesību, tostarp identificē apstākļus, kas izraisa vai var izraisīt interešu konfliktu un krāpšanas un korupcijas riskus, kas rada apdraudējumu vai kaitējumu projekta īstenošanā, nosaka veicamos pasākumus un izstrādā darbības plānu interešu konflikta preventīvai novēršanai un gadījumiem, kad interešu konflikts ir atklāts, kā arī paraksta apliecinājumu par interešu konflikta neesību;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sabiedrību izglītojošus vai dabas izglītības pasākumus par īpaši aizsargājamu dabas teritoriju, kurai tiek izstrādāts dabas aizsardzības plāns;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nodrošina datu uzkrāšanu un to ievadi Kohēzijas politikas fondu vadības informācijas sistēmā projekta īstenošanas laikā. Projekta īstenošanas laikā jāuzkrāj šādi dati: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informēšanas pasākumi tika nodrošināti cilvēkiem ar dažādu veidu funkcionāliem traucējumiem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to tiesiskajiem un praktiskajiem aspektiem.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otrās atlases kārtas ietvaros pēc vienošanās vai civiltiesiskā līguma par projekta īstenošanu noslēgšanas sadarbības iestāde apstiprina finansējuma saņēmēja sagatavoto avansa pieprasījumu, ņemot vērā, ka plānoto avansa apmēru būs iespējams izlietot saimnieciskā gada ietvaros sešu mēnešu laikā, kā arī ievērojot, ka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Projekta īstenošanas vieta ir Latvijas Republika.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26-TA-22</w:t>
    </w:r>
    <w:r>
      <w:br/>
    </w:r>
    <w:r w:rsidR="00000000" w:rsidRPr="00000000" w:rsidDel="00000000">
      <w:rPr>
        <w:rtl w:val="0"/>
      </w:rPr>
      <w:t xml:space="preserve">Izdrukāts 29.07.2026. 21.21 - 1.0.VK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26-TA-22</w:t>
    </w:r>
    <w:r>
      <w:br/>
    </w:r>
    <w:r w:rsidR="00000000" w:rsidRPr="00000000" w:rsidDel="00000000">
      <w:rPr>
        <w:rtl w:val="0"/>
      </w:rPr>
      <w:t xml:space="preserve">Izdrukāts 29.07.2026. 21.21 - 1.0.VK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noteikumu_konsolidētā_versija_26-TA-22.docx</dc:title>
</cp:coreProperties>
</file>

<file path=docProps/custom.xml><?xml version="1.0" encoding="utf-8"?>
<Properties xmlns="http://schemas.openxmlformats.org/officeDocument/2006/custom-properties" xmlns:vt="http://schemas.openxmlformats.org/officeDocument/2006/docPropsVTypes"/>
</file>