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Savienības programmas „Pilsoņi, vienlīdzība, tiesības un vērtības” (2021 – 2027) kontaktpunkta darbības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Eiropas Parlamenta un Padomes 2021. gada 28. aprīļa regulu (ES) 2021/692, ar ko izveido programmu „Pilsoņi, vienlīdzība, tiesības un vērtības” un atceļ Eiropas Parlamenta un Padomes Regulu (ES) Nr.1381/2013 un Padomes Regulu (ES) Nr.390/2014, ņemot vērā Tieslietu ministrijai nosūtīto Eiropas Komisijas Tiesiskuma un patērētāju ģenerāldirektorāta pienākumu izpildītājas </w:t>
      </w:r>
      <w:r w:rsidR="00000000" w:rsidRPr="00000000" w:rsidDel="00000000">
        <w:rPr>
          <w:i w:val="1"/>
          <w:rtl w:val="0"/>
        </w:rPr>
        <w:t xml:space="preserve">Salla Saastamoinen</w:t>
      </w:r>
      <w:r w:rsidR="00000000" w:rsidRPr="00000000" w:rsidDel="00000000">
        <w:rPr>
          <w:rtl w:val="0"/>
        </w:rPr>
        <w:t xml:space="preserve"> 2021. gada 22. februāra vēstuli (Ref. Ares(2021)1406926 – 22/02/2021) par programmas „Pilsoņi, vienlīdzība, tiesības un vērtības” (2021. – 2027.gads) kontaktpunktu izraudzīšanos ar Eiropas Komisijas aicinājumu nozīmēt Eiropas Savienības programmas „Pilsoņi, vienlīdzība, tiesības un vērtības” kontaktpunktus, atļaut Kultūras ministrijai uzņemties papildu valsts budžeta ilgtermiņa saistības Eiropas Savienības programmas „Pilsoņi, vienlīdzība, tiesības un vērtības” kontaktpunkta darbības nodrošināšanai no 2022. gada 16. aprīļa līdz 2023. gada 15. aprīlim. Eiropas Savienības programmas „Pilsoņi, vienlīdzība, tiesības un vērtības” kontaktpunkta Latvijā darbības nodrošināšanas kopējās izmaksas norādītajā laika periodā ir 84 600 </w:t>
      </w:r>
      <w:r w:rsidR="00000000" w:rsidRPr="00000000" w:rsidDel="00000000">
        <w:rPr>
          <w:i w:val="1"/>
          <w:rtl w:val="0"/>
        </w:rPr>
        <w:t xml:space="preserve">euro</w:t>
      </w:r>
      <w:r w:rsidR="00000000" w:rsidRPr="00000000" w:rsidDel="00000000">
        <w:rPr>
          <w:rtl w:val="0"/>
        </w:rPr>
        <w:t xml:space="preserve">, tai skaitā Eiropas Komisijas finansējums 42 300 </w:t>
      </w:r>
      <w:r w:rsidR="00000000" w:rsidRPr="00000000" w:rsidDel="00000000">
        <w:rPr>
          <w:i w:val="1"/>
          <w:rtl w:val="0"/>
        </w:rPr>
        <w:t xml:space="preserve">euro</w:t>
      </w:r>
      <w:r w:rsidR="00000000" w:rsidRPr="00000000" w:rsidDel="00000000">
        <w:rPr>
          <w:rtl w:val="0"/>
        </w:rPr>
        <w:t xml:space="preserve"> un valsts budžeta līdzfinansējums 42 300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šī protokollēmuma 2. punktā minētā kontaktpunkta darbības īstenošanai normatīvajos aktos noteiktajā kārtībā iesniegt Finanšu ministrijā pieprasījumu finansējuma pārdalei no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Kultūras ministrijai sagatavot un kultūras ministram noteiktā kārtībā līdz 2022. gada 1. jūnijam iesniegt izskatīšanai Ministru kabinetā informatīvo ziņojumu par šī protokollēmuma 2. punktā minētā kontaktpunkta darbības turpināšanu laika periodā no 2023. gada 16. aprīļa līdz Eiropas Savienības programmas „Pilsoņi, vienlīdzība, tiesības un vērtības” perioda beigām 2027. gadā.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21-TA-1149</w:t>
    </w:r>
    <w:r>
      <w:br/>
    </w:r>
    <w:r w:rsidR="00000000" w:rsidRPr="00000000" w:rsidDel="00000000">
      <w:rPr>
        <w:rtl w:val="0"/>
      </w:rPr>
      <w:t xml:space="preserve">Izdrukāts 29.07.2026. 21.34 - 1.0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mk_sēdes_protokollēmuma_projekts_21-TA-1149.docx</dc:title>
</cp:coreProperties>
</file>

<file path=docProps/custom.xml><?xml version="1.0" encoding="utf-8"?>
<Properties xmlns="http://schemas.openxmlformats.org/officeDocument/2006/custom-properties" xmlns:vt="http://schemas.openxmlformats.org/officeDocument/2006/docPropsVTypes"/>
</file>