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440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15. jūlijā (prot. Nr. 28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1999. gada 5. janvāra noteikumos Nr. 7 "Infekcijas slimību reģistrācijas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10. pantu,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septīto daļu un </w:t>
      </w:r>
      <w:r>
        <w:br/>
      </w:r>
      <w:r w:rsidR="00000000" w:rsidRPr="00000000" w:rsidDel="00000000">
        <w:rPr>
          <w:rStyle w:val="paragraph"/>
          <w:i w:val="1"/>
          <w:rtl w:val="0"/>
        </w:rPr>
        <w:t xml:space="preserve">14. panta pirmās daļas 4.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1999. gada 5. janvāra noteikumos Nr. 7 "Infekcijas slimību reģistrācijas kārtība" (Latvijas Vēstnesis, 1999, 5./6. nr.; 2002, 97. nr.; 2003, 111. nr.; 2004, 66. nr.; 2006, 57. nr.; 2007, 108. nr.; 2008, 100. nr.; 2009, 145. nr.; 2012, 78. nr.; 2013, 17., 149. nr.; 2015, 98. nr.; 2017, 248. nr.; 2020, 107. nr.; 2022, 117. nr.; 2023, 231.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vienotajā digitālajā epidemioloģiskajā sistēmā (turpmāk – EPID sistēma) tiek saņemti, iekļauti un apstrādāti dati, šo datu apjomu, glabāšanas termiņus un piekļuves noteikumus, pacienta aptaujas saturu un iesniegšanas kārtību, kā arī kārtību, kādā iegūst, apstrādā un glabā informāciju no sabiedrības ar ierobežotu atbildību "Latvijas Digitālās veselības centrs" (turpmāk – Latvijas Digitālās veselības centrs) informācijas sistēmām, kuru dati tiek saņemti, iekļauti un apstrādāti EPID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Infekcijas slimību un laboratoriski konstatēto infekcijas slimību izraisītāju uzskaiti saskaņā ar šo noteikumu 2. un 3. pielikumu nodrošina Slimību profilakses un kontroles centrs."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par šo noteikumu 2. pielikuma 1. grupā minētajām slimībām nekavējoties jebkurā diennakts laikā telefoniski un rakstiski ziņo Slimību profilakses un kontroles centram, aizpildot steidzamā paziņojuma veidlapu tiešsaistē ar vienotās veselības nozares elektroniskās informācijas sistēmas starpniecību (turpmāk – e-steidzamais paziņojums) vai nosūtot aizpildītu steidzamā paziņojuma veidlapu pa pastu, ar kurjeru vai elektroniski, un par ziņošanas faktu izdara ierakstu pacienta medicīniskajā dokumentācijā;".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par šo noteikumu 2. pielikuma 2. grupā minētajām slimībām ziņo Slimību profilakses un kontroles centram telefoniski un rakstiski vienas darbdienas laikā, ja tas ir pirmais paziņojums par infekcijas slimību, vai rakstiski triju darbdienu laikā, ja tas ir paziņojums par infekcijas slimības diagnozes maiņu vai atcelšanu vai infekcijas slimības galīgo diagnozi, tās laboratorisku apstiprināšanu un slimības iznākumu. Rakstiska paziņošana ir aizpildīts e-steidzamais paziņojums vai aizpildītas steidzamā ziņojuma veidlapas nosūtīšana pa pastu, ar kurjeru vai elektroniski un ieraksta par ziņošanas faktu izdarīšana pacienta medicīniskajā dokumentācijā;".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par šo noteikumu 2. pielikuma 3. grupā minētajām slimībām (izņemot cilvēka imūndeficīta vīrusa (HIV) infekciju, AIDS un tuberkulozi) triju darbdienu laikā rakstiski ziņo Slimību profilakses un kontroles centram, aizpildot e-steidzamo paziņojumu vai nosūtot aizpildītu steidzamā paziņojuma veidlapu pa pastu, ar kurjeru vai elektroniski, un par ziņošanas faktu izdara ierakstu pacienta medicīniskajā dokumentācijā;".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par cilvēka imūndeficīta vīrusa (HIV) infekciju, AIDS un tuberkulozi triju darbdienu laikā rakstiski, tiešsaistē, izmantojot e-steidzamo paziņojumu, vai elektroniski ziņo Slimību profilakses un kontroles centram, aizpildot medicīnisko dokumentāciju atbilstoši normatīvajiem aktiem par ārstniecības iestāžu medicīniskās dokumentācijas lietvedības kārtību. HIV infekcijas un AIDS gadījumā rakstisko vai elektronisko ziņošanu var aizstāt ar informācijas ievadīšanu tiešsaistē ar noteiktām slimībām slimojošu pacientu reģistrā atbilstoši normatīvajiem aktiem, kas nosaka šāda reģistra izveides, papildināšanas un uzturēšanas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Pirms ziņošanas Slimību profilakses un kontroles centram ārstniecības personas informē personu, par kuru tiek ziņots, norādot ziņošanas mērķi un apliecinot, ka steidzamā paziņojuma veidlapā sniegtā informācija tiks izmantota tikai epidemioloģiskajai uzraudzībai un pretepidēmijas pasākumu nodrošināšanai. Ja persona, par kuru tiek ziņots, ir nepilngadīga vai ar tiesas spriedumu tās rīcībspēja ir ierobežota, informē šīs personas likumisko pārstāvi."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Izglītības iestādes, sociālās aprūpes iestādes vai citas iestādes vadītājs, ja ir radušās aizdomas par grupālu saslimšanu (iestādē ir divas (vai vairāk) personas ar šādām infekcijas slimības pazīmēm – caureja, vemšana, ādas, gļotādas vai acu ābolu dzelte, paaugstināta ķermeņa temperatūra, izsitumi vai citi ādas bojājumi), nodrošina informācijas sniegšanu Slimību profilakses un kontroles centram telefoniski, elektroniski vai tiešsaistē ar valsts pārvaldes pakalpojumu portāla starpniecību, ievadot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1. par grupālu saslimšanu – iestādes nosaukums, adrese, saslimšanas adrese (ja iestāde atrodas vairākās adresēs);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2. iestādes atbildīgā persona, kas sniegusi informāciju par grupālu saslimšanu iestādē, – tālrunis, e-pasta adrese (ja tāda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3. iestādē saslimušo personu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4. pirmā saslimšanas gadījuma konstatēšanas datums;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5. par iestādē konstatētajām saslimušajām personām – personas vārds, uzvārds, personas kods, dzimšanas datums, ja to neuzrāda personas kods, personas dzīvesvietas adrese, ja tā nesakrīt ar iestādes adresi, personas vai likumiskā pārstāvja kontakttālrunis un/vai e-pasts, personas saistība ar iestādi (klients, audzēknis, darbinieks), personas saslimšanas datums;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6. saslimšanas raksturīgākās pazīmes."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Ja pacientam, kurš slimo ar gonoreju, ārstēšanas kursa laikā ar ceftriaksonu vai cefiksīmu nav bijis seksuāls kontakts un gonorejas klīniskie simptomi nav pazuduši, ārstniecības persona triju darbdienu laikā rakstiski ziņo Slimību profilakses un kontroles centram par iespējamu izraisītāja antimikrobiālo rezistenci, aizpildot e-steidzamo paziņojumu vai nosūtot aizpildītu steidzamā paziņojuma veidlapu pa pastu, ar kurjeru vai elektroniski, un par ziņošanas faktu izdara ierakstu pacienta medicīniskajā dokumentācijā."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Pārtikas un veterinārais dienests un Slimību profilakses un kontroles centrs ne vēlāk kā divu dienu laikā apmainās ar informāciju par gadījumiem, kuros konstatētas infekcijas slimības vai to izraisītāji,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ir radušās pamatotas aizdomas par cilvēka inficēšanos, lietojot uzturā konkrētus pārtikas produktus vai kontaktējoties ar dzīvniekiem, kā arī ja infekcijas slimību izraisītāji ir atklāti pārtikas produktos vai pārtikas uzņēmumu vidē;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kāda šo noteikumu 1. pielikumā minētā slimība konstatēta dzīvniekam un pastāv cilvēku inficēšanās iespēja."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Pēc mikroorganisma izdalīšanas no cilvēka klīniskā parauga vai no jebkura parauga, kas ņemts epidemioloģiskās izmeklēšanas ietvaros, īstenojot epidemioloģiskās uzraudzības programmas, laboratorijas vadītājs vai viņa pilnvarotā persona mikroorganismu kultūru un testēšanas pārskatu par veikto izmeklējumu nosūta padziļinātai izmeklēšanai uz laboratoriju, kura pilda nacionālās references laboratorijas funkcijas epidemioloģiskās drošības jomā (turpmāk – references laboratorija). References laboratorija veic saņemto mikroorganismu kultūru papildu izmeklējumus, kas nepieciešami epidemioloģiskajai uzraudzībai, ja tie saskaņā ar saņemtajiem testēšanas pārskatiem iepriekš nav veikti un ja to veikšanu atbilstoši epidemioloģiskām indikācijām pieprasa Slimību profilakses un kontroles centrs, tostarp:</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 toksīna produkcijas vai tās kodējošo gēnu noteikšanu un tipēšanu, ja izdalītā mikroorganisma kultūra ir </w:t>
      </w:r>
      <w:r w:rsidR="00000000" w:rsidRPr="00000000" w:rsidDel="00000000">
        <w:rPr>
          <w:i w:val="1"/>
          <w:rtl w:val="0"/>
        </w:rPr>
        <w:t xml:space="preserve">Corynebacterium ulcerans</w:t>
      </w:r>
      <w:r w:rsidR="00000000" w:rsidRPr="00000000" w:rsidDel="00000000">
        <w:rPr>
          <w:rtl w:val="0"/>
        </w:rPr>
        <w:t xml:space="preserve"> un </w:t>
      </w:r>
      <w:r w:rsidR="00000000" w:rsidRPr="00000000" w:rsidDel="00000000">
        <w:rPr>
          <w:i w:val="1"/>
          <w:rtl w:val="0"/>
        </w:rPr>
        <w:t xml:space="preserve">Corynebacterium pseudotuberculosis</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 seroloģiskā tipa un antibakteriālās jutības noteikšanu un tipēšanu </w:t>
      </w:r>
      <w:r w:rsidR="00000000" w:rsidRPr="00000000" w:rsidDel="00000000">
        <w:rPr>
          <w:i w:val="1"/>
          <w:rtl w:val="0"/>
        </w:rPr>
        <w:t xml:space="preserve">Haemophylus influenzae</w:t>
      </w:r>
      <w:r w:rsidR="00000000" w:rsidRPr="00000000" w:rsidDel="00000000">
        <w:rPr>
          <w:rtl w:val="0"/>
        </w:rPr>
        <w:t xml:space="preserve">, </w:t>
      </w:r>
      <w:r w:rsidR="00000000" w:rsidRPr="00000000" w:rsidDel="00000000">
        <w:rPr>
          <w:i w:val="1"/>
          <w:rtl w:val="0"/>
        </w:rPr>
        <w:t xml:space="preserve">Listeria monocytogenes </w:t>
      </w:r>
      <w:r w:rsidR="00000000" w:rsidRPr="00000000" w:rsidDel="00000000">
        <w:rPr>
          <w:rtl w:val="0"/>
        </w:rPr>
        <w:t xml:space="preserve">un </w:t>
      </w:r>
      <w:r w:rsidR="00000000" w:rsidRPr="00000000" w:rsidDel="00000000">
        <w:rPr>
          <w:i w:val="1"/>
          <w:rtl w:val="0"/>
        </w:rPr>
        <w:t xml:space="preserve">Streptococcus pneumoniae</w:t>
      </w:r>
      <w:r w:rsidR="00000000" w:rsidRPr="00000000" w:rsidDel="00000000">
        <w:rPr>
          <w:rtl w:val="0"/>
        </w:rPr>
        <w:t xml:space="preserve"> mikroorganismu kultūrai, izdalītai no likvora vai cita parasti sterila materiāla, un </w:t>
      </w:r>
      <w:r w:rsidR="00000000" w:rsidRPr="00000000" w:rsidDel="00000000">
        <w:rPr>
          <w:i w:val="1"/>
          <w:rtl w:val="0"/>
        </w:rPr>
        <w:t xml:space="preserve">Neisseria meningitidis</w:t>
      </w:r>
      <w:r w:rsidR="00000000" w:rsidRPr="00000000" w:rsidDel="00000000">
        <w:rPr>
          <w:rtl w:val="0"/>
        </w:rPr>
        <w:t xml:space="preserve"> mikroorganisma kultūrai, izdalītai no likvora, cita parasti sterila materiāla vai purpuriskiem ādas bojājumiem;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3. </w:t>
      </w:r>
      <w:r w:rsidR="00000000" w:rsidRPr="00000000" w:rsidDel="00000000">
        <w:rPr>
          <w:rtl w:val="0"/>
        </w:rPr>
        <w:t xml:space="preserve"> (svītrots ar MK 08.09.2009. noteikumiem Nr.1025)</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4. </w:t>
      </w:r>
      <w:r w:rsidR="00000000" w:rsidRPr="00000000" w:rsidDel="00000000">
        <w:rPr>
          <w:rtl w:val="0"/>
        </w:rPr>
        <w:t xml:space="preserve"> (svītrots ar MK 08.09.2009. noteikumiem Nr.1025)</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5. seroloģiskā tipa noteikšanu un tipēšanu, ja izdalītā mikroorganisma kultūra ir </w:t>
      </w:r>
      <w:r w:rsidR="00000000" w:rsidRPr="00000000" w:rsidDel="00000000">
        <w:rPr>
          <w:i w:val="1"/>
          <w:rtl w:val="0"/>
        </w:rPr>
        <w:t xml:space="preserve">Yersinia enterocolitica</w:t>
      </w:r>
      <w:r w:rsidR="00000000" w:rsidRPr="00000000" w:rsidDel="00000000">
        <w:rPr>
          <w:rtl w:val="0"/>
        </w:rPr>
        <w:t xml:space="preserve"> un </w:t>
      </w:r>
      <w:r w:rsidR="00000000" w:rsidRPr="00000000" w:rsidDel="00000000">
        <w:rPr>
          <w:i w:val="1"/>
          <w:rtl w:val="0"/>
        </w:rPr>
        <w:t xml:space="preserve">Yersinia pseudotuberculosis</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6. toksīna produkcijas vai tās kodējošo gēnu noteikšanu, antibakteriālās jutības noteikšanu un tipēšanu, ja izdalītā mikroorganisma kultūra ir </w:t>
      </w:r>
      <w:r w:rsidR="00000000" w:rsidRPr="00000000" w:rsidDel="00000000">
        <w:rPr>
          <w:i w:val="1"/>
          <w:rtl w:val="0"/>
        </w:rPr>
        <w:t xml:space="preserve">Corynebacterium diphtheriae</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7. antibakteriālās jutības noteikšanu un tipēšanu, ja izdalītā mikroorganisma kultūra ir </w:t>
      </w:r>
      <w:r w:rsidR="00000000" w:rsidRPr="00000000" w:rsidDel="00000000">
        <w:rPr>
          <w:i w:val="1"/>
          <w:rtl w:val="0"/>
        </w:rPr>
        <w:t xml:space="preserve">Neisseria gonorrhoeae</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8. seroloģiskā tipa noteikšanu, antibakteriālās jutības noteikšanu, tipēšanu un uzliesmojuma atšifrēšanu, ja izdalītā mikroorganisma kultūra ir </w:t>
      </w:r>
      <w:r w:rsidR="00000000" w:rsidRPr="00000000" w:rsidDel="00000000">
        <w:rPr>
          <w:i w:val="1"/>
          <w:rtl w:val="0"/>
        </w:rPr>
        <w:t xml:space="preserve">Salmonella</w:t>
      </w:r>
      <w:r w:rsidR="00000000" w:rsidRPr="00000000" w:rsidDel="00000000">
        <w:rPr>
          <w:rtl w:val="0"/>
        </w:rPr>
        <w:t xml:space="preserve">, </w:t>
      </w:r>
      <w:r w:rsidR="00000000" w:rsidRPr="00000000" w:rsidDel="00000000">
        <w:rPr>
          <w:i w:val="1"/>
          <w:rtl w:val="0"/>
        </w:rPr>
        <w:t xml:space="preserve">Shigella</w:t>
      </w:r>
      <w:r w:rsidR="00000000" w:rsidRPr="00000000" w:rsidDel="00000000">
        <w:rPr>
          <w:rtl w:val="0"/>
        </w:rPr>
        <w:t xml:space="preserve">, </w:t>
      </w:r>
      <w:r w:rsidR="00000000" w:rsidRPr="00000000" w:rsidDel="00000000">
        <w:rPr>
          <w:i w:val="1"/>
          <w:rtl w:val="0"/>
        </w:rPr>
        <w:t xml:space="preserve">Campylobacter</w:t>
      </w:r>
      <w:r w:rsidR="00000000" w:rsidRPr="00000000" w:rsidDel="00000000">
        <w:rPr>
          <w:rtl w:val="0"/>
        </w:rPr>
        <w:t xml:space="preserve">, Šiga toksīnu vai verotoksīnu producējošā </w:t>
      </w:r>
      <w:r w:rsidR="00000000" w:rsidRPr="00000000" w:rsidDel="00000000">
        <w:rPr>
          <w:i w:val="1"/>
          <w:rtl w:val="0"/>
        </w:rPr>
        <w:t xml:space="preserve">Escherichia coli</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9. rezistences gēnu un antibakteriālās jutības noteikšanu un tipēšanu, ja izdalītā mikroorganisma kultūra ir pret karbapenēmiem rezistenti </w:t>
      </w:r>
      <w:r w:rsidR="00000000" w:rsidRPr="00000000" w:rsidDel="00000000">
        <w:rPr>
          <w:i w:val="1"/>
          <w:rtl w:val="0"/>
        </w:rPr>
        <w:t xml:space="preserve">Enterobacterales</w:t>
      </w:r>
      <w:r w:rsidR="00000000" w:rsidRPr="00000000" w:rsidDel="00000000">
        <w:rPr>
          <w:rtl w:val="0"/>
        </w:rPr>
        <w:t xml:space="preserve"> kārtas mikroorganismi;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10. rezistences gēnu un antibakteriālās jutības noteikšanu un tipēšanu, ja izdalītā mikroorganisma kultūra ir pret kolistīnu rezistenti </w:t>
      </w:r>
      <w:r w:rsidR="00000000" w:rsidRPr="00000000" w:rsidDel="00000000">
        <w:rPr>
          <w:i w:val="1"/>
          <w:rtl w:val="0"/>
        </w:rPr>
        <w:t xml:space="preserve">Acinetobacter </w:t>
      </w:r>
      <w:r w:rsidR="00000000" w:rsidRPr="00000000" w:rsidDel="00000000">
        <w:rPr>
          <w:rtl w:val="0"/>
        </w:rPr>
        <w:t xml:space="preserve">un </w:t>
      </w:r>
      <w:r w:rsidR="00000000" w:rsidRPr="00000000" w:rsidDel="00000000">
        <w:rPr>
          <w:i w:val="1"/>
          <w:rtl w:val="0"/>
        </w:rPr>
        <w:t xml:space="preserve">Pseudomonas</w:t>
      </w:r>
      <w:r w:rsidR="00000000" w:rsidRPr="00000000" w:rsidDel="00000000">
        <w:rPr>
          <w:rtl w:val="0"/>
        </w:rPr>
        <w:t xml:space="preserve"> ģints mikroorganismi un </w:t>
      </w:r>
      <w:r w:rsidR="00000000" w:rsidRPr="00000000" w:rsidDel="00000000">
        <w:rPr>
          <w:i w:val="1"/>
          <w:rtl w:val="0"/>
        </w:rPr>
        <w:t xml:space="preserve">Enterobacterales</w:t>
      </w:r>
      <w:r w:rsidR="00000000" w:rsidRPr="00000000" w:rsidDel="00000000">
        <w:rPr>
          <w:rtl w:val="0"/>
        </w:rPr>
        <w:t xml:space="preserve"> kārtas mikroorganismi (izņemot tos, kas ir iedzimti rezistenti pret kolistīnu);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11. rezistences gēnu un antibakteriālās jutības noteikšanu un tipēšanu, ja izdalītā kultūra ir mikroorganismi, kam konstatētā rezistence sastopama reti vai nav aprakstīta."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2</w:t>
      </w:r>
      <w:r w:rsidR="00000000" w:rsidRPr="00000000" w:rsidDel="00000000">
        <w:rPr>
          <w:rtl w:val="0"/>
        </w:rPr>
        <w:t xml:space="preserve">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7. poliomielīta vīrusa vai cita enterovīrusa izraisītu serozo meningītu vai encefalītu;".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5</w:t>
      </w:r>
      <w:r w:rsidR="00000000" w:rsidRPr="00000000" w:rsidDel="00000000">
        <w:rPr>
          <w:rtl w:val="0"/>
        </w:rPr>
        <w:t xml:space="preserve"> References laboratorija reizi ceturksnī sniedz Slimību profilakses un kontroles centram pārskatu par šo noteikumu 9.</w:t>
      </w:r>
      <w:r w:rsidR="00000000" w:rsidRPr="00000000" w:rsidDel="00000000">
        <w:rPr>
          <w:vertAlign w:val="superscript"/>
          <w:rtl w:val="0"/>
        </w:rPr>
        <w:t xml:space="preserve">1</w:t>
      </w:r>
      <w:r w:rsidR="00000000" w:rsidRPr="00000000" w:rsidDel="00000000">
        <w:rPr>
          <w:rtl w:val="0"/>
        </w:rPr>
        <w:t xml:space="preserve">1., 9.</w:t>
      </w:r>
      <w:r w:rsidR="00000000" w:rsidRPr="00000000" w:rsidDel="00000000">
        <w:rPr>
          <w:vertAlign w:val="superscript"/>
          <w:rtl w:val="0"/>
        </w:rPr>
        <w:t xml:space="preserve">1</w:t>
      </w:r>
      <w:r w:rsidR="00000000" w:rsidRPr="00000000" w:rsidDel="00000000">
        <w:rPr>
          <w:rtl w:val="0"/>
        </w:rPr>
        <w:t xml:space="preserve">2., 9.</w:t>
      </w:r>
      <w:r w:rsidR="00000000" w:rsidRPr="00000000" w:rsidDel="00000000">
        <w:rPr>
          <w:vertAlign w:val="superscript"/>
          <w:rtl w:val="0"/>
        </w:rPr>
        <w:t xml:space="preserve">1</w:t>
      </w:r>
      <w:r w:rsidR="00000000" w:rsidRPr="00000000" w:rsidDel="00000000">
        <w:rPr>
          <w:rtl w:val="0"/>
        </w:rPr>
        <w:t xml:space="preserve">5., 9.</w:t>
      </w:r>
      <w:r w:rsidR="00000000" w:rsidRPr="00000000" w:rsidDel="00000000">
        <w:rPr>
          <w:vertAlign w:val="superscript"/>
          <w:rtl w:val="0"/>
        </w:rPr>
        <w:t xml:space="preserve">1</w:t>
      </w:r>
      <w:r w:rsidR="00000000" w:rsidRPr="00000000" w:rsidDel="00000000">
        <w:rPr>
          <w:rtl w:val="0"/>
        </w:rPr>
        <w:t xml:space="preserve">6., 9.</w:t>
      </w:r>
      <w:r w:rsidR="00000000" w:rsidRPr="00000000" w:rsidDel="00000000">
        <w:rPr>
          <w:vertAlign w:val="superscript"/>
          <w:rtl w:val="0"/>
        </w:rPr>
        <w:t xml:space="preserve">1</w:t>
      </w:r>
      <w:r w:rsidR="00000000" w:rsidRPr="00000000" w:rsidDel="00000000">
        <w:rPr>
          <w:rtl w:val="0"/>
        </w:rPr>
        <w:t xml:space="preserve">7., 9.</w:t>
      </w:r>
      <w:r w:rsidR="00000000" w:rsidRPr="00000000" w:rsidDel="00000000">
        <w:rPr>
          <w:vertAlign w:val="superscript"/>
          <w:rtl w:val="0"/>
        </w:rPr>
        <w:t xml:space="preserve">1</w:t>
      </w:r>
      <w:r w:rsidR="00000000" w:rsidRPr="00000000" w:rsidDel="00000000">
        <w:rPr>
          <w:rtl w:val="0"/>
        </w:rPr>
        <w:t xml:space="preserve">8., 9.</w:t>
      </w:r>
      <w:r w:rsidR="00000000" w:rsidRPr="00000000" w:rsidDel="00000000">
        <w:rPr>
          <w:vertAlign w:val="superscript"/>
          <w:rtl w:val="0"/>
        </w:rPr>
        <w:t xml:space="preserve">1</w:t>
      </w:r>
      <w:r w:rsidR="00000000" w:rsidRPr="00000000" w:rsidDel="00000000">
        <w:rPr>
          <w:rtl w:val="0"/>
        </w:rPr>
        <w:t xml:space="preserve">9., 9.</w:t>
      </w:r>
      <w:r w:rsidR="00000000" w:rsidRPr="00000000" w:rsidDel="00000000">
        <w:rPr>
          <w:vertAlign w:val="superscript"/>
          <w:rtl w:val="0"/>
        </w:rPr>
        <w:t xml:space="preserve">1</w:t>
      </w:r>
      <w:r w:rsidR="00000000" w:rsidRPr="00000000" w:rsidDel="00000000">
        <w:rPr>
          <w:rtl w:val="0"/>
        </w:rPr>
        <w:t xml:space="preserve">10. un 9.</w:t>
      </w:r>
      <w:r w:rsidR="00000000" w:rsidRPr="00000000" w:rsidDel="00000000">
        <w:rPr>
          <w:vertAlign w:val="superscript"/>
          <w:rtl w:val="0"/>
        </w:rPr>
        <w:t xml:space="preserve">1</w:t>
      </w:r>
      <w:r w:rsidR="00000000" w:rsidRPr="00000000" w:rsidDel="00000000">
        <w:rPr>
          <w:rtl w:val="0"/>
        </w:rPr>
        <w:t xml:space="preserve">11. apakšpunktā minēto baktēriju antibakteriālās jutības noteikšanas un tipēšanas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6</w:t>
      </w:r>
      <w:r w:rsidR="00000000" w:rsidRPr="00000000" w:rsidDel="00000000">
        <w:rPr>
          <w:rtl w:val="0"/>
        </w:rPr>
        <w:t xml:space="preserve"> Ja, veicot epidemioloģisko izmeklēšanu, ir nepieciešama pacienta klīniskā parauga vai infekcijas slimības izraisītāja detalizēta izmeklēšana, Slimību profilakses un kontroles centrs ir tiesīgs: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6</w:t>
      </w:r>
      <w:r w:rsidR="00000000" w:rsidRPr="00000000" w:rsidDel="00000000">
        <w:rPr>
          <w:rtl w:val="0"/>
        </w:rPr>
        <w:t xml:space="preserve">1. pieprasīt, lai laboratorijas vadītājs nodrošina izdalītā infekcijas slimības izraisītāja parauga piegādi uz references laboratoriju;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6</w:t>
      </w:r>
      <w:r w:rsidR="00000000" w:rsidRPr="00000000" w:rsidDel="00000000">
        <w:rPr>
          <w:rtl w:val="0"/>
        </w:rPr>
        <w:t xml:space="preserve">2. organizēt pacienta klīniskā parauga iegūšanu un tā piegādi uz references laboratoriju, ja nepieciešams, sadarbojoties ar pacienta ārstējošo ārstu."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7</w:t>
      </w:r>
      <w:r w:rsidR="00000000" w:rsidRPr="00000000" w:rsidDel="00000000">
        <w:rPr>
          <w:rtl w:val="0"/>
        </w:rPr>
        <w:t xml:space="preserve"> Ja Slimību profilakses un kontroles centrs, veicot epidemioloģisko izmeklēšanu, ir konstatējis personu, kurai ir infekcijas slimības pazīmes, kas atbilst attiecīgās infekcijas slimības gadījumu definīcijā noteiktajiem klīniskajiem un epidemioloģiskajiem kritērijiem, un par šo personu nav saņemts steidzamais paziņojums, jo tā nav vērsusies pēc medicīniskās palīdzības, Slimību profilakses un kontroles centra pienākums ir reģistrēt šo gadījumu un paziņot par to personas ģimenes ārstam vai personas mītnes valsts kompetentajai epidemioloģiskās uzraudzības institūcijai."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8</w:t>
      </w:r>
      <w:r w:rsidR="00000000" w:rsidRPr="00000000" w:rsidDel="00000000">
        <w:rPr>
          <w:rtl w:val="0"/>
        </w:rPr>
        <w:t xml:space="preserve"> Laboratorijas vadītājs vai viņa pilnvarotā persona nodrošina klīniskā parauga piegādi references laboratorijai izraisītāja seroloģiskā tipa un antibakteriālās jutības noteikšanai un tipēšanai, ja paraugā konstatē šo noteikumu 9.</w:t>
      </w:r>
      <w:r w:rsidR="00000000" w:rsidRPr="00000000" w:rsidDel="00000000">
        <w:rPr>
          <w:vertAlign w:val="superscript"/>
          <w:rtl w:val="0"/>
        </w:rPr>
        <w:t xml:space="preserve">1</w:t>
      </w:r>
      <w:r w:rsidR="00000000" w:rsidRPr="00000000" w:rsidDel="00000000">
        <w:rPr>
          <w:rtl w:val="0"/>
        </w:rPr>
        <w:t xml:space="preserve">1., 9.</w:t>
      </w:r>
      <w:r w:rsidR="00000000" w:rsidRPr="00000000" w:rsidDel="00000000">
        <w:rPr>
          <w:vertAlign w:val="superscript"/>
          <w:rtl w:val="0"/>
        </w:rPr>
        <w:t xml:space="preserve">1</w:t>
      </w:r>
      <w:r w:rsidR="00000000" w:rsidRPr="00000000" w:rsidDel="00000000">
        <w:rPr>
          <w:rtl w:val="0"/>
        </w:rPr>
        <w:t xml:space="preserve">2., 9.</w:t>
      </w:r>
      <w:r w:rsidR="00000000" w:rsidRPr="00000000" w:rsidDel="00000000">
        <w:rPr>
          <w:vertAlign w:val="superscript"/>
          <w:rtl w:val="0"/>
        </w:rPr>
        <w:t xml:space="preserve">1</w:t>
      </w:r>
      <w:r w:rsidR="00000000" w:rsidRPr="00000000" w:rsidDel="00000000">
        <w:rPr>
          <w:rtl w:val="0"/>
        </w:rPr>
        <w:t xml:space="preserve">5., 9.</w:t>
      </w:r>
      <w:r w:rsidR="00000000" w:rsidRPr="00000000" w:rsidDel="00000000">
        <w:rPr>
          <w:vertAlign w:val="superscript"/>
          <w:rtl w:val="0"/>
        </w:rPr>
        <w:t xml:space="preserve">1</w:t>
      </w:r>
      <w:r w:rsidR="00000000" w:rsidRPr="00000000" w:rsidDel="00000000">
        <w:rPr>
          <w:rtl w:val="0"/>
        </w:rPr>
        <w:t xml:space="preserve">6., 9.</w:t>
      </w:r>
      <w:r w:rsidR="00000000" w:rsidRPr="00000000" w:rsidDel="00000000">
        <w:rPr>
          <w:vertAlign w:val="superscript"/>
          <w:rtl w:val="0"/>
        </w:rPr>
        <w:t xml:space="preserve">1</w:t>
      </w:r>
      <w:r w:rsidR="00000000" w:rsidRPr="00000000" w:rsidDel="00000000">
        <w:rPr>
          <w:rtl w:val="0"/>
        </w:rPr>
        <w:t xml:space="preserve">7., 9.</w:t>
      </w:r>
      <w:r w:rsidR="00000000" w:rsidRPr="00000000" w:rsidDel="00000000">
        <w:rPr>
          <w:vertAlign w:val="superscript"/>
          <w:rtl w:val="0"/>
        </w:rPr>
        <w:t xml:space="preserve">1</w:t>
      </w:r>
      <w:r w:rsidR="00000000" w:rsidRPr="00000000" w:rsidDel="00000000">
        <w:rPr>
          <w:rtl w:val="0"/>
        </w:rPr>
        <w:t xml:space="preserve">8., 9.</w:t>
      </w:r>
      <w:r w:rsidR="00000000" w:rsidRPr="00000000" w:rsidDel="00000000">
        <w:rPr>
          <w:vertAlign w:val="superscript"/>
          <w:rtl w:val="0"/>
        </w:rPr>
        <w:t xml:space="preserve">1</w:t>
      </w:r>
      <w:r w:rsidR="00000000" w:rsidRPr="00000000" w:rsidDel="00000000">
        <w:rPr>
          <w:rtl w:val="0"/>
        </w:rPr>
        <w:t xml:space="preserve">9., 9.</w:t>
      </w:r>
      <w:r w:rsidR="00000000" w:rsidRPr="00000000" w:rsidDel="00000000">
        <w:rPr>
          <w:vertAlign w:val="superscript"/>
          <w:rtl w:val="0"/>
        </w:rPr>
        <w:t xml:space="preserve">1</w:t>
      </w:r>
      <w:r w:rsidR="00000000" w:rsidRPr="00000000" w:rsidDel="00000000">
        <w:rPr>
          <w:rtl w:val="0"/>
        </w:rPr>
        <w:t xml:space="preserve">10. vai 9.</w:t>
      </w:r>
      <w:r w:rsidR="00000000" w:rsidRPr="00000000" w:rsidDel="00000000">
        <w:rPr>
          <w:vertAlign w:val="superscript"/>
          <w:rtl w:val="0"/>
        </w:rPr>
        <w:t xml:space="preserve">1</w:t>
      </w:r>
      <w:r w:rsidR="00000000" w:rsidRPr="00000000" w:rsidDel="00000000">
        <w:rPr>
          <w:rtl w:val="0"/>
        </w:rPr>
        <w:t xml:space="preserve">11. apakšpunktā minēto izraisītāju, kā arī </w:t>
      </w:r>
      <w:r w:rsidR="00000000" w:rsidRPr="00000000" w:rsidDel="00000000">
        <w:rPr>
          <w:i w:val="1"/>
          <w:rtl w:val="0"/>
        </w:rPr>
        <w:t xml:space="preserve">Vibrio cholerae</w:t>
      </w:r>
      <w:r w:rsidR="00000000" w:rsidRPr="00000000" w:rsidDel="00000000">
        <w:rPr>
          <w:rtl w:val="0"/>
        </w:rPr>
        <w:t xml:space="preserve"> nukleīnskābes klātbūtni vai antigēna klātbūtni, izmantojot ātros testus, un laboratorija neveic attiecīgo izraisītāju izdalīšanu."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Laboratorijas vadītājs vai viņa pilnvarotā persona ziņo Slimību profilakses un kontroles centram par šo noteikumu 3. pielikumā minēto infekcijas slimību izraisītāju klātbūtnes tiešu vai netiešu noteikšanu pārbaudītajā cilvēka materiāla paraugā, apstiprināšanu, tipēšanu vai sekvencēšanu: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par 1. grupā minētajiem izraisītājiem – nekavējoties telefoniski un reģistrē ziņošanas faktu;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par 2. grupā minētajiem izraisītājiem – 72 stundu laikā, aizpildot e-steidzamo paziņojumu vai nosūtot aizpildītu steidzamā paziņojuma veidlapu pa pastu, ar kurjeru vai elektroniski, un reģistrē ziņošanas faktu."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Ja laboratorijas vadītājs vai viņa pilnvarotā persona atbilstoši šo noteikumu 10. punktam ziņo par šo noteikumu 3. pielikuma I sadaļas 17. punktā minētā izraisītāja </w:t>
      </w:r>
      <w:r w:rsidR="00000000" w:rsidRPr="00000000" w:rsidDel="00000000">
        <w:rPr>
          <w:i w:val="1"/>
          <w:rtl w:val="0"/>
        </w:rPr>
        <w:t xml:space="preserve">Neisseria gonorrhoeae</w:t>
      </w:r>
      <w:r w:rsidR="00000000" w:rsidRPr="00000000" w:rsidDel="00000000">
        <w:rPr>
          <w:rtl w:val="0"/>
        </w:rPr>
        <w:t xml:space="preserve"> izdalīšanu, steidzamā paziņojuma veidlapā norāda jutības pret antibakteriāliem līdzekļiem testēšanas metodi un rezultātu, ja šāda testēšana tika veikta. Ja laboratorijā nav tehnisku iespēju noteikt izdalītā izraisītāja </w:t>
      </w:r>
      <w:r w:rsidR="00000000" w:rsidRPr="00000000" w:rsidDel="00000000">
        <w:rPr>
          <w:i w:val="1"/>
          <w:rtl w:val="0"/>
        </w:rPr>
        <w:t xml:space="preserve">Neisseria gonorrhoeae</w:t>
      </w:r>
      <w:r w:rsidR="00000000" w:rsidRPr="00000000" w:rsidDel="00000000">
        <w:rPr>
          <w:rtl w:val="0"/>
        </w:rPr>
        <w:t xml:space="preserve"> jutību pret ceftriaksonu vai cefiksīmu, vai jebkuru citu pieprasītu antibakteriālu līdzekli, laboratorijas vadītājs vai viņa pilnvarotā persona mikroorganisma kultūru nosūta references laboratorijai jutības noteikšanai pret ceftriaksonu, cefiksīmu, ciprofloksacīnu, azitromicīnu, spektinomicīnu, gentamicīnu un tetraciklīnu."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Covid-19 infekcijas uzliesmojuma gadījumā ar lielu inficēto skaitu Slimību profilakses un kontroles centrs ir tiesīgs pieņemt lēmumu par inficēto personu tiešsaistes aptaujas uzsākšanu, izmantojot EPID sistēmu. Veicot tiešsaistes aptauju, inficētajai personai vai tās likumiskajam pārstāvim tiek nodrošināta informācijas sniegšana par turpmāko rīcību infekcijas izplatības ierobežošanai."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23.1.5.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"23.1.5. citu uz šo noteikumu 18.2.1. apakšpunktā minēto personu attiecināmu epidemioloģiski svarīgu informāciju, kura pieejama saskaņā ar noslēgto vienošanos starp Latvijas Digitālās veselības centru un Slimību profilakses un kontroles centru;".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Šo noteikumu 18.2.1. apakšpunktā minēto personu identificējošie dati un šo noteikumu 18.2.2., 18.2.4., 18.2.6., 18.2.7. un 18.2.8. apakšpunktā norādītie personu identificējošie dati EPID sistēmā tiek uzglabāti 10 gadus."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24-TA-1531</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24-TA-1531</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noteikumu_(grozījumu)_projekts_24-TA-1531.docx</dc:title>
</cp:coreProperties>
</file>

<file path=docProps/custom.xml><?xml version="1.0" encoding="utf-8"?>
<Properties xmlns="http://schemas.openxmlformats.org/officeDocument/2006/custom-properties" xmlns:vt="http://schemas.openxmlformats.org/officeDocument/2006/docPropsVTypes"/>
</file>