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gala labuma guvēju pieteikumu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Eiropas Parlamenta un Padomes 2024. gada 23. septembra Regulas 2024/2509 par finanšu noteikumiem, ko piemēro Savienības vispārējam budžetam,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guvēju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guvēju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guvēju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24-TA-3094</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24-TA-3094</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noteikumu_konsolidētā_versija_p1_24-TA-3094.docx</dc:title>
</cp:coreProperties>
</file>

<file path=docProps/custom.xml><?xml version="1.0" encoding="utf-8"?>
<Properties xmlns="http://schemas.openxmlformats.org/officeDocument/2006/custom-properties" xmlns:vt="http://schemas.openxmlformats.org/officeDocument/2006/docPropsVTypes"/>
</file>