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2022, 97., 204., 224. nr.; 2023, 40., 137., 230.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telpu Brīvības bulvārī 32, Rīgā (nekustamā īpašuma kadastra Nr. 0100 005 0051), pagaidu nomas maksas un papildu maksājumu izdevumu segšanai valsts akciju sabiedrībai "Valsts nekustamie īpašumi" 2020.–2023. gadā katru gadu 170 549 </w:t>
      </w:r>
      <w:r w:rsidR="00000000" w:rsidRPr="00000000" w:rsidDel="00000000">
        <w:rPr>
          <w:i w:val="1"/>
          <w:rtl w:val="0"/>
        </w:rPr>
        <w:t xml:space="preserve">euro</w:t>
      </w:r>
      <w:r w:rsidR="00000000" w:rsidRPr="00000000" w:rsidDel="00000000">
        <w:rPr>
          <w:rtl w:val="0"/>
        </w:rPr>
        <w:t xml:space="preserve"> un 2024. gadā 91 163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24-TA-2237</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24-TA-2237</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rīkojuma_(grozījumu)_projekts_24-TA-2237.docx</dc:title>
</cp:coreProperties>
</file>

<file path=docProps/custom.xml><?xml version="1.0" encoding="utf-8"?>
<Properties xmlns="http://schemas.openxmlformats.org/officeDocument/2006/custom-properties" xmlns:vt="http://schemas.openxmlformats.org/officeDocument/2006/docPropsVTypes"/>
</file>