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2.6.2.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2.6.4. līnijveida inženierbūves platums (m) (neattiecas uz ārējiem inženiertīkliem);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2.6.5. inženierbūves būvizstrādājumi.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būvniecību: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sākšanas un pabeigšanas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3.4.3. būvuzraugs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3.4.4. autoruzraugs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Būvdarbu garantijas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atliktajiem būvdarbiem: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darba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mērvienība un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pabeigšanas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Apliecinājumā par inženierbūves gatavību ekspluatācijai vai inženierbūves nojaukšanu ietver ziņas tādā apjomā, kāds nepieciešams atbilstoši īstenotajai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 ekspluatācijā paredzēts nodot vienlaikus vairākas inženierbūves, apliecinājuma 2. punktā minētās ziņas par objektu norāda katrai inženierbūvei atsevišķi.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Apliecinājuma 2.2. apakšpunktā minēto inženierbūves kadastra apzīmējumu nenorāda, ja saskaņā ar normatīvajiem aktiem kadastra apzīmējums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Apliecinājuma 3.4.3. un 3.4.4. apakšpunktā minētās ziņas norāda, ja tika veikta būvuzraudzība vai autoruzraudzība.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