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2. aprīlī (prot. Nr. 14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2007. gada 26. jūnija noteikumos Nr. 447 "Rāznas nacionālā parka individuālie aizsardzības un izmantošanas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īpaši aizsargājamām dabas teritorijām</w:t>
      </w:r>
      <w:r w:rsidR="00000000" w:rsidRPr="00000000" w:rsidDel="00000000">
        <w:rPr>
          <w:rStyle w:val="paragraph"/>
          <w:i w:val="1"/>
          <w:rtl w:val="0"/>
        </w:rPr>
        <w:t xml:space="preserve">" 14.panta otro daļu un </w:t>
      </w:r>
      <w:r w:rsidR="00000000" w:rsidRPr="00000000" w:rsidDel="00000000">
        <w:rPr>
          <w:rStyle w:val="paragraph"/>
          <w:i w:val="1"/>
          <w:rtl w:val="0"/>
        </w:rPr>
        <w:t xml:space="preserve">Rāznas nacionālā parka likuma</w:t>
      </w:r>
      <w:r w:rsidR="00000000" w:rsidRPr="00000000" w:rsidDel="00000000">
        <w:rPr>
          <w:rStyle w:val="paragraph"/>
          <w:i w:val="1"/>
          <w:rtl w:val="0"/>
        </w:rPr>
        <w:t xml:space="preserve"> 3.panta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2007. gada 26. jūnija noteikumos Nr. 447 "Rāznas nacionālā parka individuālie aizsardzības un izmantošanas noteikumi" (Latvijas Vēstnesis, 2007, 104. nr.; 2010, 188. nr.; 2014, 236.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8.2.6.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"8.2.6. makšķerēšanas sporta sacensību un treniņu vajadzībām Rāznas ezerā, ja sacensības iekļautas Latvijas Makšķerēšanas sporta federācijas sacensību kalendārā, – ne biežāk kā trīs sacensības gadā un ne vairāk kā divas sacensību dienas un trīs treniņu dienas pirms sacensībām, nepārsniedzot kuģošanas līdzekļa ātrumu 50 km/h."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24-TA-202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24-TA-202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