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martā (prot. Nr. 9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 (Latvijas Vēstnesis, 2024, 249.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"35.9. ja projektā paredzēts apsaimniekot atkritumus, kas apjoma izteiksmē vismaz 60 procentu apmērā nav radīti attiecīgajā atkritumu apsaimniekošanas reģionā vai projekta iesniedzēja apkalpotajā teritorijā attiecīgajā atkritumu apsaimniekošanas reģionā (tas ir, citā reģionā radītu atkritumu īpatsvars projekta līmenī nedrīkst būt lielāks par 40 procentiem (neieskaitot)). Nosacījums nav attiecināms uz šo noteikumu 31.2. un 31.3. apakšpunktā minētajām darbībām;".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25-TA-231</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25-TA-231</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noteikumu_(grozījumu)_projekts_25-TA-231.docx</dc:title>
</cp:coreProperties>
</file>

<file path=docProps/custom.xml><?xml version="1.0" encoding="utf-8"?>
<Properties xmlns="http://schemas.openxmlformats.org/officeDocument/2006/custom-properties" xmlns:vt="http://schemas.openxmlformats.org/officeDocument/2006/docPropsVTypes"/>
</file>