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10. decembra noteikumos Nr. 614 "Kārtība, kādā aprēķina, piešķir un izlieto valsts budžetā paredzētos līdzekļus izglītojamo ēdināšanai""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Izglītības un zinātnes ministrija no prioritārā pasākuma "Finansējuma palielināšana izglītojamo ēdināšanai no 1. līdz 4. klasei (no 2,15 uz 3,09 </w:t>
      </w:r>
      <w:r w:rsidR="00000000" w:rsidRPr="00000000" w:rsidDel="00000000">
        <w:rPr>
          <w:i w:val="1"/>
          <w:rtl w:val="0"/>
        </w:rPr>
        <w:t xml:space="preserve">euro</w:t>
      </w:r>
      <w:r w:rsidR="00000000" w:rsidRPr="00000000" w:rsidDel="00000000">
        <w:rPr>
          <w:rtl w:val="0"/>
        </w:rPr>
        <w:t xml:space="preserve">)" ietaupīto finansējumu 2023.gadā 544 571 </w:t>
      </w:r>
      <w:r w:rsidR="00000000" w:rsidRPr="00000000" w:rsidDel="00000000">
        <w:rPr>
          <w:i w:val="1"/>
          <w:rtl w:val="0"/>
        </w:rPr>
        <w:t xml:space="preserve">euro</w:t>
      </w:r>
      <w:r w:rsidR="00000000" w:rsidRPr="00000000" w:rsidDel="00000000">
        <w:rPr>
          <w:rtl w:val="0"/>
        </w:rPr>
        <w:t xml:space="preserve"> apmērā iesniegs Finanšu ministrijā kā 2023.gada valsts budžeta izpildes procesā izveidojušos un līdz gada beigām prognozēto izdevumu ekonomiju, lai nodrošinātu veselības un izglītības nozarēm nepieciešamo finansējumu, izpildot Ministru prezidenta 2023.gada 21.marta rezolūcijā 23-MPI-16 noteikto.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iesniegt Finanšu ministrijā priekšlikumu par bāzes izdevumu precizēšanu 2024.gadam un turpmāk, samazinot izdevumus Izglītības un zinātnes ministrijas budžeta apakšprogrammā 01.07.00 "Dotācija brīvpusdienu nodrošināšanai 1.,2.,3. un 4. klases izglītojamiem" 2024.gadā 361 317 </w:t>
      </w:r>
      <w:r w:rsidR="00000000" w:rsidRPr="00000000" w:rsidDel="00000000">
        <w:rPr>
          <w:i w:val="1"/>
          <w:rtl w:val="0"/>
        </w:rPr>
        <w:t xml:space="preserve">euro</w:t>
      </w:r>
      <w:r w:rsidR="00000000" w:rsidRPr="00000000" w:rsidDel="00000000">
        <w:rPr>
          <w:rtl w:val="0"/>
        </w:rPr>
        <w:t xml:space="preserve"> apmērā, 2025.gadā un turpmāk 282 009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2024.gadā un turpmāk finansējums nepilngadīgo Ukrainas civiliedzīvotāju ēdināšanai, kuri izglītības iestādēs klātienē apgūst pamatizglītības programmas 1., 2., 3. un 4. klasē šobrīd netiek plānots, attiecīgi samazinot bāzes izdevumus, ievērojot, ka  pasākumu plāns atbalsta sniegšanai Ukrainas civiliedzīvotājiem Latvijas Republikā šobrīd ir līdz 2023. gadam. Ja finansējums Ukrainas civiliedzīvotāju ēdināšanai, kuri izglītības iestādēs klātienē apgūst pamatizglītības programmas 1., 2., 3. un 4. klasē būs nepieciešams arī 2024.gadā un turpmāk, tad ietaupījums neveidosies un būs nepieciešams papildu finansējums.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23-TA-424</w:t>
    </w:r>
    <w:r>
      <w:br/>
    </w:r>
    <w:r w:rsidR="00000000" w:rsidRPr="00000000" w:rsidDel="00000000">
      <w:rPr>
        <w:rtl w:val="0"/>
      </w:rPr>
      <w:t xml:space="preserve">Izdrukāts 29.07.2026. 21.38 - 3.0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mk_sēdes_protokollēmuma_projekts_23-TA-424.docx</dc:title>
</cp:coreProperties>
</file>

<file path=docProps/custom.xml><?xml version="1.0" encoding="utf-8"?>
<Properties xmlns="http://schemas.openxmlformats.org/officeDocument/2006/custom-properties" xmlns:vt="http://schemas.openxmlformats.org/officeDocument/2006/docPropsVTypes"/>
</file>