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4.2.1. specifiskā atbalsta mērķa "Veicināt energoefektivitātes paaugstināšanu valsts un dzīvojamās ēkās" 4.2.1.2. pasākuma "Veicināt energoefektivitātes paaugstināšanu valsts ēkās" (turpmāk – pasākums) pirmo projektu iesniegumu atlases kārtu (turpmāk –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mērķis ir veicināt energoefektivitātes paaugstināšanu, viedu energovadību un atjaunojamo energoresursu izmantošanu tiešās valsts pārvaldes iestādes vai tās padotības iestādes, vai valsts deleģēto pārvaldes uzdevumu veicošas atvasinātas publiskas personas īpašumā, valdījumā vai lietošanā esošajās ēkās.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valsts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Atlases kārtas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pasākuma un atlases kārtas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4.2.1. specifiskā atbalsta mērķa "Veicināt energoefektivitātes paaugstināšanu valsts un dzīvojamās ēkās" ietvaros sasniedzamais rezultāta rādītājs – vidējais siltumenerģijas patēriņš apkurei ēkās ne vairāk kā 120 kWh/m</w:t>
      </w:r>
      <w:r w:rsidR="00000000" w:rsidRPr="00000000" w:rsidDel="00000000">
        <w:rPr>
          <w:vertAlign w:val="superscript"/>
          <w:rtl w:val="0"/>
        </w:rPr>
        <w:t xml:space="preserve">2</w:t>
      </w:r>
      <w:r w:rsidR="00000000" w:rsidRPr="00000000" w:rsidDel="00000000">
        <w:rPr>
          <w:rtl w:val="0"/>
        </w:rPr>
        <w:t xml:space="preserve"> gadā. Rādītājs atspoguļo vidējo siltumenerģijas patēriņu apkurei ēkās visā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26 829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atjaunojamos energoresursus izmantojoša siltumenerģijas ražošanas papildjauda – vismaz 0,21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siltumnīcefekta gāzu samazinājums – vismaz 4 169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atlases kārtas ietvaros – līdz 2018. gada 31. decembrim sertificēti izdevumi vismaz 19 412 881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21.05.2019. noteikumiem Nr. 201; MK 28.07.2020. noteikumiem Nr. 483; MK 22.06.2021. noteikumiem Nr. 417; MK 05.04.2022. noteikumiem Nr. 221)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Atlases kārtas īstenošanai plānotais kopējais publiskais finansējums ir 72 234 410 </w:t>
      </w:r>
      <w:r w:rsidR="00000000" w:rsidRPr="00000000" w:rsidDel="00000000">
        <w:rPr>
          <w:i w:val="1"/>
          <w:rtl w:val="0"/>
        </w:rPr>
        <w:t xml:space="preserve">euro</w:t>
      </w:r>
      <w:r w:rsidR="00000000" w:rsidRPr="00000000" w:rsidDel="00000000">
        <w:rPr>
          <w:rtl w:val="0"/>
        </w:rPr>
        <w:t xml:space="preserve">, tajā skaitā Eiropas Reģionālās attīstības fonda finansējums – 61 399 248 </w:t>
      </w:r>
      <w:r w:rsidR="00000000" w:rsidRPr="00000000" w:rsidDel="00000000">
        <w:rPr>
          <w:i w:val="1"/>
          <w:rtl w:val="0"/>
        </w:rPr>
        <w:t xml:space="preserve">euro</w:t>
      </w:r>
      <w:r w:rsidR="00000000" w:rsidRPr="00000000" w:rsidDel="00000000">
        <w:rPr>
          <w:rtl w:val="0"/>
        </w:rPr>
        <w:t xml:space="preserve"> un valsts budžeta finansējums – 10 835 162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Atlases kārtas ietvaros šo noteikumu </w:t>
      </w:r>
      <w:r w:rsidR="00000000" w:rsidRPr="00000000" w:rsidDel="00000000">
        <w:rPr>
          <w:rtl w:val="0"/>
        </w:rPr>
        <w:t xml:space="preserve">1.</w:t>
      </w:r>
      <w:r w:rsidR="00000000" w:rsidRPr="00000000" w:rsidDel="00000000">
        <w:rPr>
          <w:rtl w:val="0"/>
        </w:rPr>
        <w:t xml:space="preserve"> pielikumā minētajām ministrijām un valsts akciju sabiedrībai "Valsts nekustamie īpašumi" projekta īstenošanai ēkā, kurā izvietota tiešās valsts pārvaldes iestāde vai tiešās valsts pārvaldes iestādes padotības iestāde, ir noteikts pieejamā publiskā finansējuma maksimālais apmērs attiecināmo izmaksu segšanai atbilstoši šo noteikumu </w:t>
      </w:r>
      <w:r w:rsidR="00000000" w:rsidRPr="00000000" w:rsidDel="00000000">
        <w:rPr>
          <w:rtl w:val="0"/>
        </w:rPr>
        <w:t xml:space="preserve">1.</w:t>
      </w:r>
      <w:r w:rsidR="00000000" w:rsidRPr="00000000" w:rsidDel="00000000">
        <w:rPr>
          <w:rtl w:val="0"/>
        </w:rPr>
        <w:t xml:space="preserve"> pielikumā norādītajam finansējuma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 kas grozīta ar MK 10.07.2018.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iestādes nodrošina, ka netiek pārsniegts tām aprēķinātais publiskais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maksimāli pieļaujamā Eiropas Reģionālās attīstības fonda atbalsta intensitāte ir 85 % no projekta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valsts pārvaldes iestādes padotības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augstskola, valsts zinātniskais institūts – atvasināta publiska persona un zinātniskais institūts – atvasināta publiska persona, kas ir valsts dibinātas universitātes pārraudzībā;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 kura saskaņā ar normatīvajos aktos noteikto deleģējumu pārvalda un apsaimnieko valsts nekustamos īpašumus, – valsts akciju sabiedrība "Valsts nekustamie īpašumi", valsts akciju sabiedrība "Tiesu namu aģentūra", valsts sabiedrība ar ierobežotu atbildību "Šampētera nams" un valsts sabiedrība ar ierobežotu atbildību "Zemkopības ministrijas nekustamie īpašumi" – vai valsts kapitālsabiedrība, kura uz līguma pamata pārvalda un apsaimnieko valsts nekustamo īpašumu, – valsts akciju sabiedrība "Latvijas dzelzceļš".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ir valsts kapitālsabiedrība, kura saskaņā ar normatīvajos aktos noteikto deleģējumu pārvalda un apsaimnieko valsts nekustamos īpašumus, vai tiešās valsts pārvaldes iestādes padotības iestāde, vai atvasinātas publiskas personas aģentūra,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(ja attiecināms) pirms projekta iesnieguma iesniegšanas sadarbības iestādē, sadarbības līgumā iekļaujot informāciju atbilstoši normatīvajiem aktiem par kārtību, kādā Eiropas Savienības struktūrfondu un Kohēzijas fondu vadībā iesaistītās institūcijas nodrošina plānošanas dokumentu sagatavošanu un šo fondu ieviešanu 2014.–2020.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atbilstoša kvalifikācija un profesionālās iemaņas attiecīgajā jomā, kas ļauj profesionāli veikt projektā paredzētās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 var īstenot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citi pasākumi, kas, ņemot vērā apstākļus, nepieciešami, lai nodrošinātu sekmīgu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saņem ministrijas apliecinājumu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un neattiecināmās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neattiecināmās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un neattiecināmo izmaksu segšanas avoti;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 izmaksu ierobežojumu pārsniegšanai, ievērojot šo noteikumu </w:t>
      </w:r>
      <w:r w:rsidR="00000000" w:rsidRPr="00000000" w:rsidDel="00000000">
        <w:rPr>
          <w:rtl w:val="0"/>
        </w:rPr>
        <w:t xml:space="preserve">11.</w:t>
      </w:r>
      <w:r w:rsidR="00000000" w:rsidRPr="00000000" w:rsidDel="00000000">
        <w:rPr>
          <w:rtl w:val="0"/>
        </w:rPr>
        <w:t xml:space="preserve"> punktā noteikto, vai to, ka papildus piesaistītais publiskais finansējums tiks nodrošināts no šo noteikumu </w:t>
      </w:r>
      <w:r w:rsidR="00000000" w:rsidRPr="00000000" w:rsidDel="00000000">
        <w:rPr>
          <w:rtl w:val="0"/>
        </w:rPr>
        <w:t xml:space="preserve">1.</w:t>
      </w:r>
      <w:r w:rsidR="00000000" w:rsidRPr="00000000" w:rsidDel="00000000">
        <w:rPr>
          <w:rtl w:val="0"/>
        </w:rPr>
        <w:t xml:space="preserve"> pielikumā minētās iestādes rīcībā esošiem līdzekļiem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20.06.2017. noteikumiem Nr. 351)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minētais apliecinājums nav nepieciešams, ja projekta iesniedzējs ir šo noteikumu </w:t>
      </w:r>
      <w:r w:rsidR="00000000" w:rsidRPr="00000000" w:rsidDel="00000000">
        <w:rPr>
          <w:rtl w:val="0"/>
        </w:rPr>
        <w:t xml:space="preserve">1.</w:t>
      </w:r>
      <w:r w:rsidR="00000000" w:rsidRPr="00000000" w:rsidDel="00000000">
        <w:rPr>
          <w:rtl w:val="0"/>
        </w:rPr>
        <w:t xml:space="preserve"> pielikumā minētā ministrija vai valsts akciju sabiedrība "Valsts nekustamie īpašumi", kas iesniedz projekta iesniegumu par projekta īstenošanu ēkā, kurā izvietota tiešās valsts pārvaldes iestāde vai tiešās valsts pārvaldes iestādes padotības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iesniegumu iesniedz par ēku vai kopēju ēku grupu,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vai kopēju ēku grupu izmanto: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iestāde vai valsts kapitālsabiedrība – valsts deleģēto pārvaldes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augstskola, tās pārraudzībā esošs zinātniskais institūts – atvasināta publiska persona vai valsts zinātniskais institūts – atvasināta publiska persona – valsts deleģēto pārvaldes funkciju vai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likuma 6. panta otrajā daļā minētā valsts akciju sabiedrība – ar valsts publiskās lietošanas dzelzceļa infrastruktūras pārvaldīšanu saistīto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 ir projekta iesniedzēja īpašumā vai arī uz normatīvā akta, līguma vai iestādes lēmuma pamata nodota projekta iesniedzējam lietošanā vai valdījumā;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kopējā platība ir lielāka par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ir iekļauta valsts iestāžu un to padotības iestāžu īpašumā un lietošanā esošo apsildāmo un (vai) dzesējamo ēku sarakstā, kas publicēts Ekonomikas ministrijas tīmekļvietnē, vai ir pieņemts Ministru kabineta rīkojums par ēkas izmantošanu valsts iestādes, valsts augstskolas, tās pārraudzībā esošā zinātniskā institūta – atvasinātas publiskas personas vai valsts zinātniskā institūta – atvasinātas publiskas personas funkciju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ir tiesības projektu iesniegumu atlases kārtā iesniegt vairākus projektu iesniegumus, ievērojot šo noteikumu </w:t>
      </w:r>
      <w:r w:rsidR="00000000" w:rsidRPr="00000000" w:rsidDel="00000000">
        <w:rPr>
          <w:rtl w:val="0"/>
        </w:rPr>
        <w:t xml:space="preserve">1.</w:t>
      </w:r>
      <w:r w:rsidR="00000000" w:rsidRPr="00000000" w:rsidDel="00000000">
        <w:rPr>
          <w:rtl w:val="0"/>
        </w:rPr>
        <w:t xml:space="preserve"> pielikumā minētos Eiropas Reģionālās attīstības fonda un valsts budžeta finansējuma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iesniegumu atlases kārtas ietvaros finansējums netiek piešķirts projekta īstenošanai, ja ēka ir Latvijas Bankas, Latvijas Republikas Saeimas vai Latvijas Republikas Satversmes tiesas īpašumā.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30.10.2018. noteikumiem Nr. 664)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iekštelpu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būvniecības izmaksu tāmes, būvprojekta, būvdarbu ieceres dokumentācijas, būvprojekta minimālā sastāvā, ēkas fasādes apliecinājuma kartes un apliecinājuma kartes inženierbūvēm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tiešās attiecināmās izmaksas ir pieci miljoni </w:t>
      </w:r>
      <w:r w:rsidR="00000000" w:rsidRPr="00000000" w:rsidDel="00000000">
        <w:rPr>
          <w:i w:val="1"/>
          <w:rtl w:val="0"/>
        </w:rPr>
        <w:t xml:space="preserve">euro</w:t>
      </w:r>
      <w:r w:rsidR="00000000" w:rsidRPr="00000000" w:rsidDel="00000000">
        <w:rPr>
          <w:rtl w:val="0"/>
        </w:rPr>
        <w:t xml:space="preserve"> vai lielākas;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tiešajām attiecināmajām izmaksām, bet neieskaitot tiešās projekta vadības personāla izmaksas, ja tiešās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daļlaika attiecināmības principu (attiecināms, ja izmaksas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iekšējās apdares detaļu vizuālo un tehnisko stāvokli;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ēku automatizētās vadības un kontroles sistēmu uzstādīšana, kuras nodrošina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un nepārsniedz 1 % no projekta kopējām attiecināmajām tiešajām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netiešās attiecināmās izmaksas plāno kā vienu izmaksu pozīciju, piemērojot netiešo izmaksu vienoto likmi 15 % apmērā no šo noteikumu </w:t>
      </w:r>
      <w:r w:rsidR="00000000" w:rsidRPr="00000000" w:rsidDel="00000000">
        <w:rPr>
          <w:rtl w:val="0"/>
        </w:rPr>
        <w:t xml:space="preserve">22.3.</w:t>
      </w:r>
      <w:r w:rsidR="00000000" w:rsidRPr="00000000" w:rsidDel="00000000">
        <w:rPr>
          <w:rtl w:val="0"/>
        </w:rPr>
        <w:t xml:space="preserve"> apakšpunktā minētajām izmaksām. Projekta netiešās attiecināmās izmaksas aprēķina tikai tām izmaksām, kas radušās uz darba līguma vai rīkojuma pamata, neiesniedzot sadarbības iestādei izmaksas pamatojošos dokumentus par netiešo attiecināmo izmaksu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rtl w:val="0"/>
        </w:rPr>
        <w:t xml:space="preserve"> apakšpunktā minētās izmaksas ir attiecināmas, ja ir veikts augstas efektivitātes sistēmu izmantošanas novērtējums, kas apliecina, ka šādas sistēmas ieviešana ir tehniski un ekonomiski pamatota un samazina enerģijas patērētāju kopējās enerģijas izmaksas.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minēto attiecināmo izmaksu kopsumma nepārsniedz 10 % no būvdarbu līguma summas. Ierobežojumu var nepiemērot, ja projekta iesniedzējs pamato, ka šīs prasības piemērošana nav iespējama, un tas ir saņēmis šo noteikumu </w:t>
      </w:r>
      <w:r w:rsidR="00000000" w:rsidRPr="00000000" w:rsidDel="00000000">
        <w:rPr>
          <w:rtl w:val="0"/>
        </w:rPr>
        <w:t xml:space="preserve">14.4.</w:t>
      </w:r>
      <w:r w:rsidR="00000000" w:rsidRPr="00000000" w:rsidDel="00000000">
        <w:rPr>
          <w:rtl w:val="0"/>
        </w:rPr>
        <w:t xml:space="preserve"> apakšpunktā minēto ministrijas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22.4.4.</w:t>
      </w:r>
      <w:r w:rsidR="00000000" w:rsidRPr="00000000" w:rsidDel="00000000">
        <w:rPr>
          <w:rtl w:val="0"/>
        </w:rPr>
        <w:t xml:space="preserve"> apakšpunktā minētās izmaksas nepārsniedz 30 % no projekta kopējām attiecināmajām izmaksām un 30 %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2016.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Maksimāli pieļaujamais publiskā finansējuma apmērs šo noteikumu </w:t>
      </w:r>
      <w:r w:rsidR="00000000" w:rsidRPr="00000000" w:rsidDel="00000000">
        <w:rPr>
          <w:rtl w:val="0"/>
        </w:rPr>
        <w:t xml:space="preserve">22.</w:t>
      </w:r>
      <w:r w:rsidR="00000000" w:rsidRPr="00000000" w:rsidDel="00000000">
        <w:rPr>
          <w:rtl w:val="0"/>
        </w:rPr>
        <w:t xml:space="preserve"> punktā norādītajām attiecināmajām izmaksām kopā nepārsniedz 300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1.</w:t>
      </w:r>
      <w:r w:rsidR="00000000" w:rsidRPr="00000000" w:rsidDel="00000000">
        <w:rPr>
          <w:rtl w:val="0"/>
        </w:rPr>
        <w:t xml:space="preserve"> pielikumā minētā finansējuma par vienu ēkas kopējās platības kvadrātmetru, izņemot objektīvi pamatotus gadījumus, kad maksimāli pieļaujamais publiskā finansējuma apmērs var pārsniegt šo ierobežojumu.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17.10.2023. noteikumu Nr. 595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atlases kārtas ietvaros var plānot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29.</w:t>
      </w:r>
      <w:r w:rsidR="00000000" w:rsidRPr="00000000" w:rsidDel="00000000">
        <w:rPr>
          <w:rtl w:val="0"/>
        </w:rPr>
        <w:t xml:space="preserve"> punktā minēto izmaksu ierobežojumu;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minētos izmaksu ierobežojumus, ja izmaksas netiek segtas no šo noteikumu </w:t>
      </w:r>
      <w:r w:rsidR="00000000" w:rsidRPr="00000000" w:rsidDel="00000000">
        <w:rPr>
          <w:rtl w:val="0"/>
        </w:rPr>
        <w:t xml:space="preserve">1.</w:t>
      </w:r>
      <w:r w:rsidR="00000000" w:rsidRPr="00000000" w:rsidDel="00000000">
        <w:rPr>
          <w:rtl w:val="0"/>
        </w:rPr>
        <w:t xml:space="preserve"> pielikumā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23.</w:t>
      </w:r>
      <w:r w:rsidR="00000000" w:rsidRPr="00000000" w:rsidDel="00000000">
        <w:rPr>
          <w:rtl w:val="0"/>
        </w:rPr>
        <w:t xml:space="preserve"> 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28.</w:t>
      </w:r>
      <w:r w:rsidR="00000000" w:rsidRPr="00000000" w:rsidDel="00000000">
        <w:rPr>
          <w:rtl w:val="0"/>
        </w:rPr>
        <w:t xml:space="preserve"> punktā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49.</w:t>
      </w:r>
      <w:r w:rsidR="00000000" w:rsidRPr="00000000" w:rsidDel="00000000">
        <w:rPr>
          <w:rtl w:val="0"/>
        </w:rPr>
        <w:t xml:space="preserve"> 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tiek plānotas vai projekta īstenošanas laikā rodas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apakšpunktā minētās izmaksas sedz no finansējuma saņēmēja rīcībā esošajiem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apakšpunktā minētās izmaksas sedz no līdzekļiem, kas nav saistīti ne ar kādu valsts atbalstu, tajā skaitā no tādiem līdzekļiem, kas iegūti, piemēram, saimnieciskās darbības rezultātā un nav uzskatāmi par publiskajiem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22.06.2021. noteikumiem Nr. 417)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 minētie finansējuma saņēmēji neattiecināmās izmaksas sedz no finansējuma saņēmēja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plānotās attiecināmās izmaksas un tādēļ projekta izmaksas neiekļaujas šo noteikumu 1. pielikumā minētajā ministrijai pieejamā finansējuma maksimālajā apmērā, finansējuma saņēmējs papildu izmaksas sedz no paša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siltumenerģijas ietaupījums pēc projekta īstenošanas nav mazāks kā 30 % gadā no ēkas energosertifikātā aprēķinātā siltumenerģijas patēriņa pirms projekta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siltumenerģijas patēriņš apkurei pēc projekta īstenošanas, pamatojoties uz ēkas energosertifikātā veiktajiem aprēķiniem un projekta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 Ja ēkas vidējais apkurināmo telpu augstums pārsniedz 3,5 metrus, siltumenerģijas patēriņu apkurei (kWh/m</w:t>
      </w:r>
      <w:r w:rsidR="00000000" w:rsidRPr="00000000" w:rsidDel="00000000">
        <w:rPr>
          <w:vertAlign w:val="superscript"/>
          <w:rtl w:val="0"/>
        </w:rPr>
        <w:t xml:space="preserve">2</w:t>
      </w:r>
      <w:r w:rsidR="00000000" w:rsidRPr="00000000" w:rsidDel="00000000">
        <w:rPr>
          <w:rtl w:val="0"/>
        </w:rPr>
        <w:t xml:space="preserve"> gadā) pēc projekta īstenošanas pārrēķina atbilstoši šo noteikumu </w:t>
      </w:r>
      <w:r w:rsidR="00000000" w:rsidRPr="00000000" w:rsidDel="00000000">
        <w:rPr>
          <w:rtl w:val="0"/>
        </w:rPr>
        <w:t xml:space="preserve">2.</w:t>
      </w:r>
      <w:r w:rsidR="00000000" w:rsidRPr="00000000" w:rsidDel="00000000">
        <w:rPr>
          <w:rtl w:val="0"/>
        </w:rPr>
        <w:t xml:space="preserve"> pielikuma 10. sadaļai;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rezultātā tiek sasniegtas minimālās energoefektivitātes prasības atbilstoši Ministru kabineta 2015. gada 30. jūnija noteikumiem Nr. 339 "Noteikumi par Latvijas būvnormatīvu LBN 002-15 "Ēku norobežojošo konstrukciju siltumtehnika"", izņemot gadījumu, ja šo noteikumu </w:t>
      </w:r>
      <w:r w:rsidR="00000000" w:rsidRPr="00000000" w:rsidDel="00000000">
        <w:rPr>
          <w:rtl w:val="0"/>
        </w:rPr>
        <w:t xml:space="preserve">2.</w:t>
      </w:r>
      <w:r w:rsidR="00000000" w:rsidRPr="00000000" w:rsidDel="00000000">
        <w:rPr>
          <w:rtl w:val="0"/>
        </w:rPr>
        <w:t xml:space="preserve"> pielikumā sniegts pamatojums atbilstoši Ēku energoefektivitātes likuma 4. panta ceturtajai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energosertifikāta aprēķinos izmantotajām ievaddatu vērtībām paredzējis neatkarīgs eksperts ēku energoefektivitātes jomā. Minēto pārskatu izstrādā saskaņā ar normatīvajiem aktiem ēku energoefektivitātes aprēķina jomā, ietverot šo noteikumu </w:t>
      </w:r>
      <w:r w:rsidR="00000000" w:rsidRPr="00000000" w:rsidDel="00000000">
        <w:rPr>
          <w:rtl w:val="0"/>
        </w:rPr>
        <w:t xml:space="preserve">2.</w:t>
      </w:r>
      <w:r w:rsidR="00000000" w:rsidRPr="00000000" w:rsidDel="00000000">
        <w:rPr>
          <w:rtl w:val="0"/>
        </w:rPr>
        <w:t xml:space="preserve"> pielikumā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 tajā skaitā līguma vai vienošanās par projekta īstenošanu vienpusēja uzteikuma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ministrijas sev pieejamā publiskā finansējuma ietvaros var mainīt šo noteikumu </w:t>
      </w:r>
      <w:r w:rsidR="00000000" w:rsidRPr="00000000" w:rsidDel="00000000">
        <w:rPr>
          <w:rtl w:val="0"/>
        </w:rPr>
        <w:t xml:space="preserve">14.</w:t>
      </w:r>
      <w:r w:rsidR="00000000" w:rsidRPr="00000000" w:rsidDel="00000000">
        <w:rPr>
          <w:rtl w:val="0"/>
        </w:rPr>
        <w:t xml:space="preserve"> punktā izsniegtajā apliecinājumā norādīto finansējuma sadalījumu starp projektiem. Sadarbības iestādē iesniedz pamatojošu dokumentāciju par izmaiņu piemērošanu.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var palielināt projekta attiecināmās izmaksas pēc projekta iesnieguma iesniegšanas sadarbības iestādē līdz projekta apstiprināšanai nosacījumu izpildes laikā, ja projekts apstiprināts ar nosacījumu, vai pēc vienošanās vai līguma noslēgšanas ar sadarbības iestādi projektā apstiprināto darbību ietvaros. Finansējuma saņēmējs sadarbības iestādē iesniedz ministrijas apliecinājumu par projekta attiecināmo izmaksu palielināšanu ministrijai piešķirtās kvotas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 kas grozīta ar MK 21.05.2019.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iesniegumā minētās aktivitātes īstenojamas līdz 2023. gada 31. decembrim, izņemot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L347/320),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apakšpunktā minēto iznākuma rādītāju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iesniedz atbildīgajā iestādē pārskatu par enerģijas patēriņu ēkā pārskata gadā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līdzekļus projekta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tiek veikti valsts deleģētie pārvaldes uzdevumi vai ar valsts publiskās lietošanas dzelzceļa infrastruktūras pārvaldīšanu saistītās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apsaimniekošanas un lietošanas līgums, kurā noteikts ēkas lietotāja pienākums nodrošināt ēkas uzturēšanu atbilstoši Latvijas Republikā spēkā esošajiem normatīvajiem aktiem, projekta iesniegumam pievieno ministrijas apliecinājumu, ka tā vismaz piecus gadus pēc noslēguma maksājuma veikšanas nodrošinās šo noteikumu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nomas līgums, projekta iesniegumam pievieno ministrijas apliecinājumu, ka tā vismaz piecus gadus pēc projekta īstenošanas ēkā, par kuru iesniegts projekta iesniegums, nodrošinās šo noteikumu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Iepirkumu, kas nepieciešams projekta īstenošanai, finansējuma saņēmējs veic saskaņā ar normatīvajiem aktiem publisko iepirkumu jomā. Atbalstāma ir vides prasību integrācija preču, pakalpojumu un būvdarbu iepirkumos (zaļais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13.3.</w:t>
      </w:r>
      <w:r w:rsidR="00000000" w:rsidRPr="00000000" w:rsidDel="00000000">
        <w:rPr>
          <w:rtl w:val="0"/>
        </w:rPr>
        <w:t xml:space="preserve"> apakšpunktā minētie finansējuma saņēmēji var saņemt avansa maksājumu saskaņā ar normatīvajiem aktiem par kārtību, kādā plāno valsts budžeta līdzekļus Eiropas Savienības struktūrfondu un Kohēzijas fonda projektu īstenošanai un veic maksājumus 2014.–2020. gada plānošanas periodā, kas nepārsniedz 90 % no projektam piešķirtā Eiropas Reģionālās attīstības fonda finansējuma un, ja tas ir paredzēts projektā, valsts budžeta līdzfinansējuma kopsummas. Avansa maksājumu šo noteikumu </w:t>
      </w:r>
      <w:r w:rsidR="00000000" w:rsidRPr="00000000" w:rsidDel="00000000">
        <w:rPr>
          <w:rtl w:val="0"/>
        </w:rPr>
        <w:t xml:space="preserve">13.4.</w:t>
      </w:r>
      <w:r w:rsidR="00000000" w:rsidRPr="00000000" w:rsidDel="00000000">
        <w:rPr>
          <w:rtl w:val="0"/>
        </w:rPr>
        <w:t xml:space="preserve"> apakšpunktā minētie finansējuma saņēmēji var saņemt 100 % apmērā no projektam piešķirtā Eiropas Reģionālās attīstības fonda finansējuma un, ja tas ir paredzēts projektā, valsts budžeta līdzfinansējuma kopsummas. Avansa maksājumu ir iespējams saņemt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iestādei ir tiesības vienpusēji atkāpties no noslēgtā līguma vai vienošanās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par projekta īstenošanu, tai skaitā netiek ievēroti projektā noteiktie termiņi vai ir iestājušies citi apstākļi, kas negatīvi ietekmē vai var ietekmēt specifiskā atbalsta mērķa vai šo noteikumu </w:t>
      </w:r>
      <w:r w:rsidR="00000000" w:rsidRPr="00000000" w:rsidDel="00000000">
        <w:rPr>
          <w:rtl w:val="0"/>
        </w:rPr>
        <w:t xml:space="preserve">8.</w:t>
      </w:r>
      <w:r w:rsidR="00000000" w:rsidRPr="00000000" w:rsidDel="00000000">
        <w:rPr>
          <w:rtl w:val="0"/>
        </w:rPr>
        <w:t xml:space="preserve"> punktā minēto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piešķirto finansējumu attiecībā uz tām pašām attiecināmajām izmaksām nevar apvienot ar citu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ēkā vai ēkas daļā, par kuru iesniegts projekta iesniegums, tiek veikti valsts deleģētie pārvaldes uzdevumi vai ar valsts publiskās lietošanas dzelzceļa infrastruktūras pārvaldīšanu saistītās darbības, atbalsts šā pasākuma ietvaros netiek kvalificēts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iesniedzēja īpašumā, lietošanā vai valdījumā esošajā infrastruktūrā (ēkā, ēkas daļā vai ēku grupā, par kuru iesniegts projektu iesniegums), kas tiek izmantota tādu funkciju vai pārvaldes uzdevumu nodrošināšanai, kuri nav saistīti ar saimniecisko darbību, pamatlīdzekļu un ilgtermiņa ieguldījumu nolietojuma periodā pieļaujams veikt papildinošu saimniecisko darbību 20 % apmērā no infrastruktūras gada jaudas platības, laika vai finanšu izteiksmē, lai atbalsts pasākuma ietvaros netiktu kvalificēts kā komercdarbības atbalsts. Ar papildinošu saimniecisko darbību saprot darbības, kas ir tieši saistītas ar ēkas, ēkas daļas vai ēku grupas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Ēkā, ēkas daļā vai ēku grupā, kurā veic energoefektivitātes projektu, ir pieļaujams veikt papildpakalpojumus, piemēram, izmantot infrastruktūru tādu pakalpojumu nodrošināšanai,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minētajā gadījumā komercdarbības atbalsts, kas attiecināms uz bezatlīdzības lietošanā nodoto ēku, ēkas daļu vai ēku grupu, kurā veikts energoefektivitātes projekts, var tikt piešķirts patiesajam labuma guvējam saskaņā ar šo noteikumu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komercdarbības atbalstu sadarbības iestāde piešķir patiesajam labuma guvējam ar līguma vai vienošanās par projekta īstenošanu grozījumiem. Finansējuma saņēmējs minētajiem grozījumiem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veselības aprūpes organizēšanas un samaksas jomā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 patiesā labuma guvēja un Nacionālā veselības dienesta (turpmāk – pilnvarojuma uzlicējs) savstarpēji noslēgto deleģēšanas līgumu par sabiedrisko pakalpojumu sniegšanu, kas satur: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sniedzamo sabiedrisko pakalpojumu;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attiecībā uz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līguma darbības laiku, kas nepārsniedz 10 gadus;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sabiedrisko pakalpojumu sniegšanas teritoriju;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pakalpojuma ar vispārēju tautsaimniecisku nozīmi sniedzējam piešķirto ekskluzīvo vai īpašo tiesību būtību;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vispārējas tautsaimnieciskas nozīmes pakalpojuma sniegšanas pilnvarojuma uzlicēja apliecinājumu, ka tas kontrolēs un pārskatīs šo noteikumu </w:t>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1.6.</w:t>
      </w:r>
      <w:r w:rsidR="00000000" w:rsidRPr="00000000" w:rsidDel="00000000">
        <w:rPr>
          <w:rtl w:val="0"/>
        </w:rPr>
        <w:t xml:space="preserve"> apakšpunktā</w:t>
      </w:r>
      <w:r w:rsidR="00000000" w:rsidRPr="00000000" w:rsidDel="00000000">
        <w:rPr>
          <w:rtl w:val="0"/>
        </w:rPr>
        <w:t xml:space="preserve"> minētos līgumā paredzētos atlīdzības (kompensācijas) maksājumus, kā arī novērsīs un atgūs līgumā paredzēto atlīdzības (kompensācijas) maksājumu pārmaksu, ievērojot līgumā noteikto pārbaužu regularitāti un nodrošinot, ka pārbaudes tiek veiktas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patiesajam labuma guvējam ir pienākums atmaksāt komercdarbības atbalsta sniedzējam visu projekta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Pilnvarojuma uzlicējam, finansējuma saņēmējam un patiesajam labuma guvējam ir pienākums dokumentāciju par saņemto komercdarbības atbalstu glabāt 10 gadus no pilnvarojuma termiņa beigām, savukārt sadarbības iestādei, kas nav pilnvarojuma uzlicējs, bet piešķir komercdarbības atbalstu atbilstoši Komisijas lēmumam Nr. </w:t>
      </w:r>
      <w:r w:rsidR="00000000" w:rsidRPr="00000000" w:rsidDel="00000000">
        <w:rPr>
          <w:rtl w:val="0"/>
        </w:rPr>
        <w:t xml:space="preserve">2012/21/ES</w:t>
      </w:r>
      <w:r w:rsidR="00000000" w:rsidRPr="00000000" w:rsidDel="00000000">
        <w:rPr>
          <w:rtl w:val="0"/>
        </w:rPr>
        <w:t xml:space="preserve">, ir pienākums dokumentāciju, kas saistīta ar komercdarbības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Komercdarbības atbalstu, kas piešķirts šo noteikumu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minētajā gadījumā, drīkst kumulēt ar citu valsts atbalstu, kas sniegts saskaņā ar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tiek konstatēts, ka ēkā, ēkas daļā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 apmēru, vai tiek veikta saimnieciskā darbība, kas nav uzskatāma par papildinošu saimniecisko darbību, projekta iesniedzējam proporcionāli šai ēkas, ēkas daļas vai ēku grupas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visā projekta dzīves ciklā sagatavo ikgadēju pārskatu par papildinošas saimnieciskās darbības apjomu un nodrošina aprēķinus pamatojošo dokumentu pieejamību. Ja finansējuma saņēmējs konstatē, ka ir pārsniegts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minētais 20 % ierobežojums no infrastruktūras gada jaudas platības, laika vai finanšu izteiksmē vai ka veiktās investīcijas tiek izmantotas citai saimnieciskai darbībai, kas nav uzskatāma par papildinošu saimniecisko darbību, tas 10 darbdienu laikā pēc pārskata sagatavošanas iesniedz sadarbības iestādē ziņojumu par konstatēto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 nosacījumu pārkāpumu. Sadarbības iestādei ir tiesības finansējuma saņēmējam pieprasīt pārskatus par papildinošu saimniecisko darbību visā projekta dzīves cikla laikā, tai skaitā gadījumos, kad no finansējuma saņēmēja, kompetentajām iestādēm vai no trešajām personām saņemta informācija par papildinošas saimnieciskās darbības nosacījumu pārkāpumu.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Šos noteikumus piemēro projektu iesniegumiem, kas sadarbības iestādē iesniegti no 2016. gada 19.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minētā finansējuma saņēmēja – Veselības ministrijas – padotības iestāde, kura nodrošina valsts deleģētos pārvaldes uzdevumus, – Valsts tiesu medicīnas ekspertīzes centrs projekta pēcuzraudzības periodā var nodot bezatlīdzības lietošanā ēku, ēkas daļu vai ēku grupu, kurā veic energoefektivitātes projektu, citai ārstniecības iestādei, kas ir sabiedrība ar ierobežotu atbildību, kuras kapitāla daļas 100 % apmērā pieder valstij, – sabiedrībai ar ierobežotu atbildību "Rīgas Austrumu klīniskā universitātes slimnīca" (kas ir patiesais labuma guvējs) valsts apmaksāto veselības aprūpes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saņēmējs nevar pilnībā pabeigt projektā plānotās aktivitātes un sasniegt projektā plānotos iznākuma rādītājus līdz 2023. gada 31. decembrim, finansējuma saņēmējs var pabeigt projektā plānotās aktivitātes un sasniegt projektā plānotos iznākuma rādītājus par privātiem līdzekļiem līdz 2024.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gadījumā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iesniedz sadarbības iestādē līguma vai vienošanās par projekta īstenošanu grozījumus;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pieprasījumā līdz 2023. gada 31. decembrim pabeigtās projekta aktivitātes, sasniegtos iznākuma rādītājus un veiktos izdevumus nodala no projekta aktivitātēm un iznākuma rādītājiem, kas tiks sasniegti līdz 2024. gada 31. oktobrim;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2024. gada 31. oktobrim iesniedz sadarbības iestādē pamatojošo dokumentāciju par pabeigtajām aktivitātēm un sasniegtajiem iznākuma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apstiprina šo noteikumu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minētajā noslēguma maksājuma pieprasījumā iekļautos attiecināmos izdevumus, kas veikti līdz 2023. gada 31. decembrim, un veic maksājumus par 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finansējuma saņēmējs līdz 2024. gada 31. oktobrim nepabeidz par saviem līdzekļiem visas projektā plānotās aktivitātes un nesasniedz visus projektā plānotos iznākuma rādītājus, finansējuma saņēmējam ir pienākums atmaksāt sadarbības iestādei visu projektā saņemto atbalsta finansējumu saskaņā ar līguma vai vienošanās par projekta īstenošanu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26.09.2023. noteikumu Nr. 541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pārskatu par 2024. pārskata gadu sagatavo līdz 2025. gada 1. jūlijam, bet, sākot ar 2025. pārskata gadu, – līdz nākamā gada 1. martam.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25-TA-282</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25-TA-282</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noteikumu_konsolidētā_versija_25-TA-282.docx</dc:title>
</cp:coreProperties>
</file>

<file path=docProps/custom.xml><?xml version="1.0" encoding="utf-8"?>
<Properties xmlns="http://schemas.openxmlformats.org/officeDocument/2006/custom-properties" xmlns:vt="http://schemas.openxmlformats.org/officeDocument/2006/docPropsVTypes"/>
</file>