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2.2.3. specifiskā atbalsta mērķa “Uzlabot dabas aizsardzību un bioloģisko daudzveidību, “zaļo” infrastruktūru, it īpaši pilsētvidē, un samazināt piesārņojumu” 2.2.3.6.pasākumu “Gaisa piesārņojumu mazinošu pasākumu īstenošana, uzlabojot mājsaimniecību siltumapgādes sistēmas”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specifiskā atbalsta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civiltiesiskā līguma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Specifiskā atbalsta 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samazināt gaisa piesārņojuma radīto negatīvo ietekmi uz vidi un cilvēku veselību, veicot siltumapgādes sadedzināšanas iekārtu nomaiņu mājsaimniecību sektora dzīvojamās mājās, uzlabojot individuālo siltumapgādes sistēmu efektivitāti, ieviešot siltumapgādes iekārtas un tehnoloģijas, kas būtiski samazina gaisa piesārņojumu, tai skaitā dzīvojamās mājas pieslēdzot efektīvām pilsētu centralizētajām siltumapgādes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valstspilsētu un novadu pilsētu iedzīvotāji, mājsaimniecības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specifiskā atbalsta rezultāta rādītājs – līdz 2025. gada 31. decembrim nodrošināts iedzīvotāju, kas gūst labumu no gaisa kvalitātes pasākumiem, skaits – vismaz 2 795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nacionālais iznākuma rādītājs - līdz 2025. gada 31. decembrim nodrošināts smalko PM</w:t>
      </w:r>
      <w:r w:rsidR="00000000" w:rsidRPr="00000000" w:rsidDel="00000000">
        <w:rPr>
          <w:vertAlign w:val="subscript"/>
          <w:rtl w:val="0"/>
        </w:rPr>
        <w:t xml:space="preserve">2,5</w:t>
      </w:r>
      <w:r w:rsidR="00000000" w:rsidRPr="00000000" w:rsidDel="00000000">
        <w:rPr>
          <w:rtl w:val="0"/>
        </w:rPr>
        <w:t xml:space="preserve"> daļiņu emisijas samazinājums vismaz 50 tonnas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minētā rezultāta rādītāja vērtību nosaka atbilstoši personu skaitam, kuras deklarējušas dzīvesvietu projekta dzīvojamā mājā vai dzīvokļa īpašumā mājsaimniecībā. Vērtību uzskata par sasniegtu pēc projekta  noslēguma maksājuma veikšanas, pamatojoties uz projekta noslēguma maksājuma pieprasījuma iesniegšanas dienas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minēto nacionālā iznākuma rādītāja vērtību nosaka atbilstoši projekta iesniegumā un tā pielikumos norādītajai informācijai atbilstoši Vides aizsardzības un reģionālās attīstības ministrijas kā atbildīgās iestādes (turpmāk – atbildīgā iestāde) izstrādātajiem metodiskajiem norādījumiem. Vērtību uzskata par sasniegtu pēc projekta noslēguma maksājuma veikšanas, pamatojoties uz projekta noslēguma maksājuma pieprasījuma iesniegšanas dienas datiem.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atbilstoši plānošanas dokumentiem nodrošina specifiskā atbalsta mērķa rezultātu sasniegšanu, tostarp iznākuma un rezultātu rādītāju sasniegšanas uzraudzību.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atklātas projektu iesniegumu atlases veidā atbilstoši projektu iesniegumu atlases nolikumam vairākos uzsaukumos atbilstoši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pirmais uzsaukums, vērtējot projektus, kur mājsaimniecības tiek pieslēgtas centralizētajai siltumapgādes sistēmai atbilstoši šo noteikumu </w:t>
      </w:r>
      <w:r w:rsidR="00000000" w:rsidRPr="00000000" w:rsidDel="00000000">
        <w:rPr>
          <w:rtl w:val="0"/>
        </w:rPr>
        <w:t xml:space="preserve">42.3.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otrais uzsaukums, vērtējot projektus, kur mājsaimniecībās uzstāda dažādu veidu siltumsūkņus atbilstoši šo noteikumu </w:t>
      </w:r>
      <w:r w:rsidR="00000000" w:rsidRPr="00000000" w:rsidDel="00000000">
        <w:rPr>
          <w:rtl w:val="0"/>
        </w:rPr>
        <w:t xml:space="preserve">42.2.</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trešais uzsaukums, vērtējot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plānots īstenot centralizētās siltumapgādes apkalpošanas zonā – 20 metru attālumā no centralizētās siltumapgādes sistēmas maģistrālajiem tīkliem, projektu vērtē ceturtā uzsaukuma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ceturtais uzsaukums, vērtējot visu veidu projektus atbilstoši šo noteikumu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plānotais finansējums ir 13 098 127 euro, tai skaitā Eiropas Reģionālās attīstības fonda finansējums – 12 443 220 euro un privātais līdzfinansējums – vismaz 654 907 euro,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pirmajam uzsaukumam plānotais finansējums ir 3 157 895 euro, tai skaitā Eiropas Reģionālās attīstības fonda finansējums – 3 000 000 euro un privātais finansējums – vismaz 157 895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otrajam uzsaukumam plānotais finansējums ir 3 157 895 euro, tai skaitā Eiropas Reģionālās attīstības fonda finansējums – 3 000 000 euro un privātais finansējums – vismaz 157 895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trešajam uzsaukumam plānotais finansējums ir 3 157 895 euro, tai skaitā Eiropas Reģionālās attīstības fonda finansējums – 3 000 000 euro un privātais finansējums – vismaz 157 895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ceturtajam uzsaukumam plānotais finansējums ir vismaz 3 624 442 euro, tai skaitā Eiropas Reģionālās attīstības fonda finansējums – 3 443 220 euro un privātais finansējums – vismaz 181 222  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pirmā, otrā un trešā uzsaukuma ietvaros pieejamais Eiropas Reģionālās attīstības fonda finansējums netiek izlietots, atlikušo Eiropas Reģionālās attīstības fonda finansējumu novirza ceturtā uzsaukuma projektu finansēšanai.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uzsaukumus sadarbības iestāde organizē, paredzot, ka katrs nākamais uzsaukums  tiek izsludināts ne ātrāk kā divus mēnešus pēc iepriekšējā uzsaukuma izsludināšanas. Ceturtais uzsaukums tiek izsludināts ne vēlāk kā līdz 2024. gada 1. martam.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Finansējumu specifiskā atbalsta ietvaros piešķir ar atbildīgās iestādes apstiprināto un vadošās iestādes saskaņoto vienas vienības izmaksu likmju aprēķina un piemērošanas metodiku granta veidā piemērojot vienkāršoto izmaksu iespējas ar vienas vienības izmaksu likmēm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53.panta 1.punkta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finansējums specifiskā atbalsta ietvaros nepārsniedz 95%, no tiem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95 procentus no kopējām attiecināmajām izmaksām  šo noteikumu </w:t>
      </w:r>
      <w:r w:rsidR="00000000" w:rsidRPr="00000000" w:rsidDel="00000000">
        <w:rPr>
          <w:rtl w:val="0"/>
        </w:rPr>
        <w:t xml:space="preserve">42.3.</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85 procentus no kopējām attiecināmajām izmaksām šo noteikumu </w:t>
      </w:r>
      <w:r w:rsidR="00000000" w:rsidRPr="00000000" w:rsidDel="00000000">
        <w:rPr>
          <w:rtl w:val="0"/>
        </w:rPr>
        <w:t xml:space="preserve">42.2.</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70 procentus no kopējām attiecināmajām izmaksām  šo noteikumu </w:t>
      </w:r>
      <w:r w:rsidR="00000000" w:rsidRPr="00000000" w:rsidDel="00000000">
        <w:rPr>
          <w:rtl w:val="0"/>
        </w:rPr>
        <w:t xml:space="preserve">42.1.</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50 procentus no kopējām attiecināmajām izmaksām  šo noteikumu </w:t>
      </w:r>
      <w:r w:rsidR="00000000" w:rsidRPr="00000000" w:rsidDel="00000000">
        <w:rPr>
          <w:rtl w:val="0"/>
        </w:rPr>
        <w:t xml:space="preserve">42.4.</w:t>
      </w:r>
      <w:r w:rsidR="00000000" w:rsidRPr="00000000" w:rsidDel="00000000">
        <w:rPr>
          <w:rtl w:val="0"/>
        </w:rPr>
        <w:t xml:space="preserve"> apakšpunktā minētajām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4400 euro uz vienu deklarēto iedzīvotāju projekta dzīvojamās mājas vai dzīvokļu īpašumu mājsaimniecībās.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īpašnieks – privāto tiesību juridiskā persona vai fiziskā persona, kuras īpašumā ir šo noteikumu </w:t>
      </w:r>
      <w:r w:rsidR="00000000" w:rsidRPr="00000000" w:rsidDel="00000000">
        <w:rPr>
          <w:rtl w:val="0"/>
        </w:rPr>
        <w:t xml:space="preserve">18.</w:t>
      </w:r>
      <w:r w:rsidR="00000000" w:rsidRPr="00000000" w:rsidDel="00000000">
        <w:rPr>
          <w:rtl w:val="0"/>
        </w:rPr>
        <w:t xml:space="preserve"> punktā minētā dzīvojamā māja vai īpašnieka pilnvarota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kopīpašnieku vai vairāku īpašnieku, kuru īpašumā ir šo noteikumu </w:t>
      </w:r>
      <w:r w:rsidR="00000000" w:rsidRPr="00000000" w:rsidDel="00000000">
        <w:rPr>
          <w:rtl w:val="0"/>
        </w:rPr>
        <w:t xml:space="preserve">18.</w:t>
      </w:r>
      <w:r w:rsidR="00000000" w:rsidRPr="00000000" w:rsidDel="00000000">
        <w:rPr>
          <w:rtl w:val="0"/>
        </w:rPr>
        <w:t xml:space="preserve"> punktā minētā dzīvojamā māja, pilnvarota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Pilnvarotā persona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vai kopīpašnieku pilnvarota persona ar tiesībām īstenot projektu, ja projektu paredzēts īstenot šo noteikumu </w:t>
      </w:r>
      <w:r w:rsidR="00000000" w:rsidRPr="00000000" w:rsidDel="00000000">
        <w:rPr>
          <w:rtl w:val="0"/>
        </w:rPr>
        <w:t xml:space="preserve">18.1.</w:t>
      </w:r>
      <w:r w:rsidR="00000000" w:rsidRPr="00000000" w:rsidDel="00000000">
        <w:rPr>
          <w:rtl w:val="0"/>
        </w:rPr>
        <w:t xml:space="preserve"> vai </w:t>
      </w:r>
      <w:r w:rsidR="00000000" w:rsidRPr="00000000" w:rsidDel="00000000">
        <w:rPr>
          <w:rtl w:val="0"/>
        </w:rPr>
        <w:t xml:space="preserve">18.2.</w:t>
      </w:r>
      <w:r w:rsidR="00000000" w:rsidRPr="00000000" w:rsidDel="00000000">
        <w:rPr>
          <w:rtl w:val="0"/>
        </w:rPr>
        <w:t xml:space="preserve"> apakšpunktā minētajā dzīvojamā mājā;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pārvaldnieks – fiziskā vai juridiskā persona, kas uz pārvaldīšanas līguma pamata veic dzīvojamās mājas īpašnieka vai īpašnieku uzdotās pārvaldīšanas darbības –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iesniegumu projektu atlases ietvaros var iesniegt par vienu dzīvokļa īpašumu dzīvojamā mājā, vairākiem dzīvokļa īpašumiem dzīvojamā mājā vai par dzīvojamo māju kopumā, ja saskaņā ar normatīvajiem aktiem par būvju klasifikāciju dzīvojamā māja atbilst šādai klasei: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(kods 11100102; 11100103);</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dzīvokļu mājas (kods 11210101);</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vai vairāku dzīvokļu mājas (kods 11220101; 11220102; 11220103).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vienu dzīvojamo māju neatkarīgi no tās dzīvokļu īpašuma skaita var iesniegt tikai vienu projekta iesniegumu.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var iesniegt vienu projekta iesniegumu par vienu vai vairākiem dzīvokļa īpašumiem vienā un tajā pašā dzīvojamā mājā, neaptverot dzīvojamās mājas visus dzīvokļa īpašumus, ja nodrošināts šo noteikumu </w:t>
      </w:r>
      <w:r w:rsidR="00000000" w:rsidRPr="00000000" w:rsidDel="00000000">
        <w:rPr>
          <w:rtl w:val="0"/>
        </w:rPr>
        <w:t xml:space="preserve">22.</w:t>
      </w:r>
      <w:r w:rsidR="00000000" w:rsidRPr="00000000" w:rsidDel="00000000">
        <w:rPr>
          <w:rtl w:val="0"/>
        </w:rPr>
        <w:t xml:space="preserve"> punktā noteiktais un projekta ietvaros katram dzīvokļa īpašumam tiek nodrošināts individuāls siltumapgādes risinājums.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ir tiesīgs iesniegt neierobežotu projektu iesniegumu skaitu, ja katru projektu paredzēts īstenot dzīvojamā mājā, kurā netika īstenots cits šī specifiskā atbalsta projekts un šī dzīvojamā māja pieder īpašniekiem, kas nav citas dzīvojamās mājas īpašnieki, kurā tiek vai tiks īstenots šī specifiskā atbalsta projekts.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minētajos gadījumos pilnvarotā persona nodrošina nepieciešamos dzīvojamās mājas īpašnieku saskaņojumus par dzīvojamās mājas siltumapgādes risinājuma ieviešanu atbilstoši Dzīvojamās mājas pārvaldīšanas likuma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18.</w:t>
      </w:r>
      <w:r w:rsidR="00000000" w:rsidRPr="00000000" w:rsidDel="00000000">
        <w:rPr>
          <w:rtl w:val="0"/>
        </w:rPr>
        <w:t xml:space="preserve"> punktā minētajā dzīvojamā mājā (ēkā),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kopējā lietderīgā platība pārsniedz 50 kvadrātmetrus;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ir nodota ekspluatācijā vismaz septiņus  gadus pirms projekta iesnieguma iesniegšanas dienas un pastāvīgi ekspluatēta vismaz pēdējos trīs kalendāros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esošā siltumapgāde attiecībā uz projektā uzstādāmajām siltumapgādes iekārtām vismaz pēdējos trīs kalendāros gadus ir nodrošināta ar biomasas cieto kurināmo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apakšpunkta gadījumā un </w:t>
      </w:r>
      <w:r w:rsidR="00000000" w:rsidRPr="00000000" w:rsidDel="00000000">
        <w:rPr>
          <w:rtl w:val="0"/>
        </w:rPr>
        <w:t xml:space="preserve">18.3.</w:t>
      </w:r>
      <w:r w:rsidR="00000000" w:rsidRPr="00000000" w:rsidDel="00000000">
        <w:rPr>
          <w:rtl w:val="0"/>
        </w:rPr>
        <w:t xml:space="preserve"> apakšpunkta gadījumos – tiek nodrošināta ar akmeņoglēm, kūdru vai biomasas cieto kurināmo;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 atbilst E klasei vai efektīvākai klasei atbilstoši 2021. gada 8. aprīļa Ministru kabineta noteikumu Nr.222 “Ēku energoefektivitātes aprēķina metodes un ēku energosertifikācijas noteikumi” 3.pielikuma 1.tabulai;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kuras nepieciešamā siltumapgādes nominālā jauda nepārsniedz 50 kilovatus (kW).</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Projektu īsteno dzīvojamā mājā, dzīvokļa īpašumos vai dzīvokļa īpašumā, kurā projekta iesnieguma iesniegšanas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noteiktajā gadījumā ir deklarēta vismaz viena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noteiktajā gadījumā, katrā uz projektu attiecināmā dzīvokļa īpašumā projekta iesnieguma iesniegšanas dienā jābūt deklarētai vismaz vienai personai.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norādītās iekārtas uzstāda projekta iesniegumā norādītajā dzīvojamā mājā, vienā vai vairākos dzīvokļa īpašumos. Ir pieļaujami izņēmumi, ka iekārtas tiek uzstādītas uz dzīvojamās mājas īpašnieku īpašumā esošās zemes vai palīgēkām, ja projekta iesniegumam tiek pievienots argumentēts pamatojums un apliecinājums, ka iekārtu saražotā enerģija tiks izmantota tikai šo noteikumu </w:t>
      </w:r>
      <w:r w:rsidR="00000000" w:rsidRPr="00000000" w:rsidDel="00000000">
        <w:rPr>
          <w:rtl w:val="0"/>
        </w:rPr>
        <w:t xml:space="preserve">18.</w:t>
      </w:r>
      <w:r w:rsidR="00000000" w:rsidRPr="00000000" w:rsidDel="00000000">
        <w:rPr>
          <w:rtl w:val="0"/>
        </w:rPr>
        <w:t xml:space="preserve"> punktā minētajā dzīvojamā mājā vai šo noteikumu </w:t>
      </w:r>
      <w:r w:rsidR="00000000" w:rsidRPr="00000000" w:rsidDel="00000000">
        <w:rPr>
          <w:rtl w:val="0"/>
        </w:rPr>
        <w:t xml:space="preserve">20.</w:t>
      </w:r>
      <w:r w:rsidR="00000000" w:rsidRPr="00000000" w:rsidDel="00000000">
        <w:rPr>
          <w:rtl w:val="0"/>
        </w:rPr>
        <w:t xml:space="preserve"> punktā minētajā dzīvojamā mājā atbilstoši </w:t>
      </w:r>
      <w:r w:rsidR="00000000" w:rsidRPr="00000000" w:rsidDel="00000000">
        <w:rPr>
          <w:rtl w:val="0"/>
        </w:rPr>
        <w:t xml:space="preserve">44.1.</w:t>
      </w:r>
      <w:r w:rsidR="00000000" w:rsidRPr="00000000" w:rsidDel="00000000">
        <w:rPr>
          <w:rtl w:val="0"/>
        </w:rPr>
        <w:t xml:space="preserve"> apakšpunktā minētajam, nodrošinot dzīvojamās mājas pašpatēriņu vismaz 80%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sagatavo un iesniedz projekta iesniegumu elektroniski, izmantojot Kohēzijas politikas fondu vadības informācijas sistēmu, saskaņā ar specifiskā atbalsta projektu iesniegumu atlases nolikuma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saskaņā ar projektu iesniegumu atlases nolikuma prasībām, pamatojoties uz vērtēšanas komisijas atzinumu, pieņem lēmumu par projektu iesniegumu apstiprināšanu vai, lēmumu par projektu iesniegumu apstiprināšanu ar nosacījumu un atzinumu par projektiem izvirzīto nosacījumu izpildi, vai lēmumu par projektu iesnieguma noraidīšanu.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veikt pārbaudi projekta īstenošanas vietā, pirms noslēgts civiltiesiskais līgums par projekta īstenošanu, lai pārliecinātos par faktiskajiem projekta īstenošanas apstākļiem vai projekta iesniegumā sniegtās informācijas patiesumu  atbilstoši Eiropas Savienības fondu projektu pārbaužu veikšanas kārtībai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pasākumi tiek veikti viena dzīvokļa, divu un vairāk dzīvokļu mājā, kur kāds no dzīvokļu īpašniekiem veic saimniecisko darbību, un tas pretendē uz atbalstu, kas kvalificējas kā komercdarbības atbalsts, tad atbalstu attiecināmo darbību izmaksu segšanai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saimniecisko darbību šo noteikumu izpratnē nav uzskatāma dzīvojamā mājā esošo pašvaldībām piederošo neprivatizēto dzīvokļu izīrēšana, īres tiesisko attiecību uzsākšana vai dzīvokļu uzturēšana, lai tos izīrētu atbilstoši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minēto;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sociālajiem dzīvokļiem un sociālajām dzīvojamām mājām”;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un pašvaldību dzīvojamo māju privatizāciju”.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saimniecisko darbību šo noteikumu izpratnē nav uzskatāma  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saistītā 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viena dzīvokļa, divu un vairāk dzīvokļu mājas dzīvokļa īpašuma īpašniekam (turpmāk – dzīvokļa īpašnieks) piešķir,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triju fiskālo gadu periodā nepārsniedz 200 000 euro vienam vienotam uzņēmumam (dzīvokļa vai dzīvojamās mājas īpašniekam);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dzīvokļa īpašnieks kā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de minimis atbalsta, ko piešķir saskaņā ar šo regulu;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dzīvokļa īpašniekam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200 000 euro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minētajiem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izdots atzinums par lēmumā noteikto nosacījumu izpildi, ja iepriekš pieņemts lēmums par projekta iesnieguma apstiprināšanu ar nosacījumu.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šo noteikumu ietvaros,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Lēmumu par atbalsta piešķiršanu saskaņā ar Regulu Nr. 1407/2013 var pieņemt līdz šīs regulas darbības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Dokumentāciju par atbalsta piešķiršanu saskaņā ar Regulas Nr. 1407/2013 6. panta 4. punktu sadarbības iestāde glabā 10 gadus no programmas ietvaros pēdējā piešķirtā atbalsta, bet dzīvojamās mājas īpašnieks vai īpašnieki un pilnvarotā persona   – glabā 10 gadus no atbalsta piešķiršanas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pārkāptas šajos noteikumos noteiktās komercdarbības atbalsta normas, tostarp nosacījumi, kas izriet no Komisijas regulas Nr.1407/2013, dzīvokļa īpašniekam ir pienākums atmaksāt sadarbības iestādei visu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atbilstoši Komercdarbības atbalsta kontroles likuma IV vai V nodaļai.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ar saimniecisku darbību nesaistīts projekts ieviešanas gaitā vai projekta pēcuzraudzības periodā kļūst par projektu, kas saistīts ar saimniecisku darbību, kurai atbalsts kvalificējams kā komercdarbības atbalsts, dzīvokļa īpašnieks atmaksā sadarbības iestādei visu saņemto publisko finansējumu, ja vien projekta īstenošanas laikā nav iespējams piemērot šo noteikumu </w:t>
      </w:r>
      <w:r w:rsidR="00000000" w:rsidRPr="00000000" w:rsidDel="00000000">
        <w:rPr>
          <w:rtl w:val="0"/>
        </w:rPr>
        <w:t xml:space="preserve">29.</w:t>
      </w:r>
      <w:r w:rsidR="00000000" w:rsidRPr="00000000" w:rsidDel="00000000">
        <w:rPr>
          <w:rtl w:val="0"/>
        </w:rPr>
        <w:t xml:space="preserve"> punktā minētā komercdarbības atbalsta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nodrošina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punktā un </w:t>
      </w:r>
      <w:r w:rsidR="00000000" w:rsidRPr="00000000" w:rsidDel="00000000">
        <w:rPr>
          <w:rtl w:val="0"/>
        </w:rPr>
        <w:t xml:space="preserve">44.1.</w:t>
      </w:r>
      <w:r w:rsidR="00000000" w:rsidRPr="00000000" w:rsidDel="00000000">
        <w:rPr>
          <w:rtl w:val="0"/>
        </w:rPr>
        <w:t xml:space="preserve"> apakšpunktā minēto specifiskā atbalsta atbilstības uzraudzību reizi gadā visā projekta pēcuzraudzības periodā. Sadarbības iestādei ir tiesības veikt ārpuskārtas pārbaudes, lai nodrošinātu specifiskā atbalsta atbilstības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principa “Nenodarīt būtisku kaitējumu”, horizontālā principa “klimatdrošināšana” un Eiropas Savienības un Latvijas Republikas normatīvo tiesību aktu vides aizsardzības jomā ievērošanai,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plānots pieslēgums centralizētajai siltumapgādes sistēmai, centralizētā siltumapgādes sistēma atbilst efektīvai centralizētajai siltumapgādes sistēmai atbilstoši šo noteikumu </w:t>
      </w:r>
      <w:r w:rsidR="00000000" w:rsidRPr="00000000" w:rsidDel="00000000">
        <w:rPr>
          <w:rtl w:val="0"/>
        </w:rPr>
        <w:t xml:space="preserve">45.</w:t>
      </w:r>
      <w:r w:rsidR="00000000" w:rsidRPr="00000000" w:rsidDel="00000000">
        <w:rPr>
          <w:rtl w:val="0"/>
        </w:rPr>
        <w:t xml:space="preserve"> punktā minētajam;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plānota koksnes biomasas apkures katla, kas piemērots granulu kurināmajam iegāde, projekta iesniedzējs apliecina, ka kā kurināmo izmantos biomasas kurināmo no mazvērtīgās koksnes un koksnes atlikumiem (koksnes granulas);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veicējiem un/vai pakalpojumu sniedzējiem nosaka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iesniegts projekta iesniedzēja apliecinājums par to, ka azbestu saturoši materiāli tiks apstrādāti un transportēti atbilstoši normatīvajiem aktiem par darba aizsardzības prasībām darbā ar azbestu un azbesta atkritumu apsaimniekošanu;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paredzēts īstenot aktivitātes, kas nodrošina klimata pārmaiņu mazināšanu, t.i. siltumnīcefekta gāzu emisiju samazināšanu vai atjaunojamo energoresursu tehnoloģiju ieviešanu, kā arī projekts atbilst horizontālā principa “Energoefektivitāte pirmajā vietā”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tiek nodrošināta atbilstība pielāgošanās klimata pārmaiņām aspektiem.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Projektā iekļauj un izmaksas ir attiecināmas par šādām atbalstāmajām darbībām,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koksnes biomasas apkures katla, kas piemērots granulu kurināmajam, iegādei,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siltumsūkņa (zeme-ūdens, ūdens-ūdens vai gaiss-ūdens) iegādei,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centralizētajai siltumapgādes sistēmai projektēšana un izveidošana,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sadales sistēmas pilnīgu atjaunošanu,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apkures sadales sistēmas pilnīgu atjaunošanu, pārbūvi vai izveidi un karstā ūdens sadales sistēmas pilnīgu atjaunošanu, pārbūvi vai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elektriskās apkures sistēmas siltumenerģijas avotu iegāde un uzstādīšana, ja nepieciešams ietverot (kopā vai atsevišķi):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siltumsūkņa (gaiss-gaiss) iegādi;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ja tā nepieciešama, lai īstenotu </w:t>
      </w:r>
      <w:r w:rsidR="00000000" w:rsidRPr="00000000" w:rsidDel="00000000">
        <w:rPr>
          <w:rtl w:val="0"/>
        </w:rPr>
        <w:t xml:space="preserve">42.4.1.</w:t>
      </w:r>
      <w:r w:rsidR="00000000" w:rsidRPr="00000000" w:rsidDel="00000000">
        <w:rPr>
          <w:rtl w:val="0"/>
        </w:rPr>
        <w:t xml:space="preserve"> vai </w:t>
      </w:r>
      <w:r w:rsidR="00000000" w:rsidRPr="00000000" w:rsidDel="00000000">
        <w:rPr>
          <w:rtl w:val="0"/>
        </w:rPr>
        <w:t xml:space="preserve">42.4.2.</w:t>
      </w:r>
      <w:r w:rsidR="00000000" w:rsidRPr="00000000" w:rsidDel="00000000">
        <w:rPr>
          <w:rtl w:val="0"/>
        </w:rPr>
        <w:t xml:space="preserve"> apakšpunktos minētās darbības.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Specifiskā atbalsta ietvaros nav atbalstāmas darbības, ja šo noteikumu </w:t>
      </w:r>
      <w:r w:rsidR="00000000" w:rsidRPr="00000000" w:rsidDel="00000000">
        <w:rPr>
          <w:rtl w:val="0"/>
        </w:rPr>
        <w:t xml:space="preserve">42.</w:t>
      </w:r>
      <w:r w:rsidR="00000000" w:rsidRPr="00000000" w:rsidDel="00000000">
        <w:rPr>
          <w:rtl w:val="0"/>
        </w:rPr>
        <w:t xml:space="preserve"> punktā minēto darbību ietvaros uzstādāmās iekārtas nespēj gada ietvaros pilnā apjomā nodrošināt dzīvojamās mājas vai uz projektu attiecināmo dzīvokļu īpašumu siltumapgādi apkurei vajadzības.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42.1.2.</w:t>
      </w:r>
      <w:r w:rsidR="00000000" w:rsidRPr="00000000" w:rsidDel="00000000">
        <w:rPr>
          <w:rtl w:val="0"/>
        </w:rPr>
        <w:t xml:space="preserve"> ,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42.4.2.</w:t>
      </w:r>
      <w:r w:rsidR="00000000" w:rsidRPr="00000000" w:rsidDel="00000000">
        <w:rPr>
          <w:rtl w:val="0"/>
        </w:rPr>
        <w:t xml:space="preserve"> apakšpunktā minētās darbības saules paneļu sistēmas (ar pieslēgumu elektrotīklam) iegādei un uzstādīšanai atbalstāmas: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paredzamais saražojamais elektroenerģijas apjoms finanšu izteiksmē vismaz 80% no gadā saražotā tiek izmantots dzīvojamās mājas vai uz projektu attiecināmās dzīvojamās mājas dzīvokļu īpašumu pašpatēriņam, izmantojot Elektroenerģijas tirgus likuma 30.5 pantā noteikto neto norēķinu sistēmu. Ja šo noteikumu </w:t>
      </w:r>
      <w:r w:rsidR="00000000" w:rsidRPr="00000000" w:rsidDel="00000000">
        <w:rPr>
          <w:rtl w:val="0"/>
        </w:rPr>
        <w:t xml:space="preserve">63.</w:t>
      </w:r>
      <w:r w:rsidR="00000000" w:rsidRPr="00000000" w:rsidDel="00000000">
        <w:rPr>
          <w:rtl w:val="0"/>
        </w:rPr>
        <w:t xml:space="preserve"> punktā minētajā projekta pēcuzraudzības periodā sadarbības iestāde konstatē, ka ir pārkāpts šajā punktā minētais 80% nosacījums, finansējuma saņēmējs atmaksā visu saņemto atbalstu attiecībā par šo noteikumu </w:t>
      </w:r>
      <w:r w:rsidR="00000000" w:rsidRPr="00000000" w:rsidDel="00000000">
        <w:rPr>
          <w:rtl w:val="0"/>
        </w:rPr>
        <w:t xml:space="preserve">42.1.2.</w:t>
      </w:r>
      <w:r w:rsidR="00000000" w:rsidRPr="00000000" w:rsidDel="00000000">
        <w:rPr>
          <w:rtl w:val="0"/>
        </w:rPr>
        <w:t xml:space="preserve">,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42.4.2.</w:t>
      </w:r>
      <w:r w:rsidR="00000000" w:rsidRPr="00000000" w:rsidDel="00000000">
        <w:rPr>
          <w:rtl w:val="0"/>
        </w:rPr>
        <w:t xml:space="preserve"> apakšpunktā minētajām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dzīvojamās mājas pieslēgumā atļautā elektroenerģijas ražošanas iekārtas uzstādītā jauda nepārsniedz 50 % no pieslēgumā atļautās maksimālās patēriņa slodzes.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minētās darbības atbalstāmas, ja centralizētā siltumapgādes sistēma atbilst efektīvai centralizētajai siltumapgādes sistēmai atbilstoši Eiropas Parlamenta un Padomes Direktīvas 2012/27/ES par energoefektivitāti, ar ko groza Direktīvas 2009/125/EK un 2010/30/ES un atceļ Direktīvas 2004/8/EK un 2006/32/EK 2.panta 41.punktā minētajam. Sadarbības iestāde ievieto savā tīmekļvietnē valstspilsētu un novadu pilsētu efektīvo centralizēto siltumapgādes sistēmu sarakstu pirms projektu iesniegumu atlases izsludināšanas.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minētās darbības atbalstāmas, ja tiek nodrošināta atbilstība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2015. gada 28. aprīļa Regulas (ES) 2015/1189, ar ko Eiropas Parlamenta un Padomes Direktīvu 2009/125/EK īsteno attiecībā uz ekodizaina prasībām cietā kurināmā katliem, prasībām,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27. aprīļa Deleģētajā regulā (ES) 2015/1187, ar ko Eiropas Parlamenta un Padomes Direktīvu 2010/30/ES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darbības ir atbalstāmas, ja tās nodrošina atbilstību pašvaldības saistošo noteikumu prasību izpildei attiecībā uz siltumapgādes iekārtu uzstādīšanu, tai skaitā ir saņemtas nepieciešamās atļaujas un nodrošināta pašvaldību teritoriālā plānojuma prasību ievērošana, kā arī projekta ietvaros projektā noteiktā apmērā tiks sasniegts PM2,5 daļiņu samazinājums.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minēto atbalstāmo darbību projekta tiešās un netiešās attiecināmās izmaksas nosaka ar atbildīgās iestādes apstiprināto un  vadošās iestādes saskaņoto vienas vienības izmaksu likmju aprēķina un piemērošanas metodiku šo noteikumu </w:t>
      </w:r>
      <w:r w:rsidR="00000000" w:rsidRPr="00000000" w:rsidDel="00000000">
        <w:rPr>
          <w:rtl w:val="0"/>
        </w:rPr>
        <w:t xml:space="preserve">13.</w:t>
      </w:r>
      <w:r w:rsidR="00000000" w:rsidRPr="00000000" w:rsidDel="00000000">
        <w:rPr>
          <w:rtl w:val="0"/>
        </w:rPr>
        <w:t xml:space="preserve"> punktā minēto vienkāršoto izmaksu iespēju piemērošanai (turpmāk – metodika),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un iekļautas vienas vienības izmaksu likmju aprēķinā, ir attiecināmās izmaksas.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citiem publiskajiem līdzekļiem, tai skaitā no Ekonomikas ministrijas atbalsta programmām dzīvojamo māju atjaunošanai un energoefektivitātes paaugstināšanai un Emisijas kvotu izsolīšanas instrumenta finansēto projektu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Specifiskā atbalsta 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Avansa maksājums nav paredzēts.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projektu īsteno un priekšfinansē par privātajiem līdzekļiem un sadarbības iestāde, balstoties uz  civiltiesisko līgumu par projekta īstenošanu pēc finansējuma saņēmēja iesniegtā noslēguma maksājuma pieprasījuma izvērtēšanas veic specifiskā atbalsta izmaksu vienā projekta noslēguma maksājumā.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ir tiesīgs saņemt specifiskā atbalsta finansējumu, ja sadarbības iestādē ir iesniegta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noteiktā rādītāju sasniegšanu pamatojošā dokumentācija un sadarbības iestāde to ir apstiprinājusi.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tiek uzstādīta iekārta ar mazāku nominālo jaudu nekā iesniegtajā projekta iesniegumā, sadarbības iestāde veic izmaksas atbilstoši faktiski uzstādītās iekārtas nominālajai jaudai atbilstoši tās vienas vienības izmaksu likmei, ja izmaiņas projekta iesniegumā tiek atbilstoši pamatotas un netiek negatīvi ietekmēts </w:t>
      </w:r>
      <w:r w:rsidR="00000000" w:rsidRPr="00000000" w:rsidDel="00000000">
        <w:rPr>
          <w:rtl w:val="0"/>
        </w:rPr>
        <w:t xml:space="preserve">5.2.</w:t>
      </w:r>
      <w:r w:rsidR="00000000" w:rsidRPr="00000000" w:rsidDel="00000000">
        <w:rPr>
          <w:rtl w:val="0"/>
        </w:rPr>
        <w:t xml:space="preserve"> apakšpunktā noteiktais nacionālais iznākuma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ietvaros tiek uzstādīta iekārta ar lielāku nominālo jaudu nekā iesniegtajā projekta iesniegumā, sadarbības iestāde aprēķina un finansē izmaksas atbilstoši apstiprinātajā projekta iesniegumā norādītajai iekārtas nominālajai jaudai un atbilstoši aprēķinātajai vienas vienības izmaksu likmei, ja izmaiņas projekta iesniegumā tiek atbilstoši pamatotas un netiek negatīvi ietekmēts </w:t>
      </w:r>
      <w:r w:rsidR="00000000" w:rsidRPr="00000000" w:rsidDel="00000000">
        <w:rPr>
          <w:rtl w:val="0"/>
        </w:rPr>
        <w:t xml:space="preserve">5.2.</w:t>
      </w:r>
      <w:r w:rsidR="00000000" w:rsidRPr="00000000" w:rsidDel="00000000">
        <w:rPr>
          <w:rtl w:val="0"/>
        </w:rPr>
        <w:t xml:space="preserve"> apakšpunktā noteiktais nacionālais iznākuma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Publicitātes prasību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atbilstoši Regulas Nr.2021/1060 47. un 50.panta 1.punkta d)apakšpunktam, publicē informāciju par katru īstenoto projektu Eiropas Savienības fondu tīmekļa vietnē, ņemot vērā vadošās iestādes izstrādātās Eiropas Savienības fondu 2021.–2027. gada plānošanas perioda un Atveseļošanas fonda komunikācijas un dizaina vadlīnijas;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juridiska persona, finansējuma saņēmējs nodrošina papildus šo noteikumu </w:t>
      </w:r>
      <w:r w:rsidR="00000000" w:rsidRPr="00000000" w:rsidDel="00000000">
        <w:rPr>
          <w:rtl w:val="0"/>
        </w:rPr>
        <w:t xml:space="preserve">58.1.</w:t>
      </w:r>
      <w:r w:rsidR="00000000" w:rsidRPr="00000000" w:rsidDel="00000000">
        <w:rPr>
          <w:rtl w:val="0"/>
        </w:rPr>
        <w:t xml:space="preserve"> apakšpunktā minētajai publicitātei sabiedrībai skaidri redzamā vietā vismaz vienu plakātu vai plakātam līdzvērtīgu elektronisku paziņojumu juridiskās personas tīmekļa vietnē vai sociālajos tīklos, kur izklāstīta informācija par darbību un uzsvērts no fondiem saņemtais atbalsts visām publicitātes darbībām, ievērojot </w:t>
      </w:r>
      <w:r w:rsidR="00000000" w:rsidRPr="00000000" w:rsidDel="00000000">
        <w:rPr>
          <w:rtl w:val="0"/>
        </w:rPr>
        <w:t xml:space="preserve">58.1.</w:t>
      </w:r>
      <w:r w:rsidR="00000000" w:rsidRPr="00000000" w:rsidDel="00000000">
        <w:rPr>
          <w:rtl w:val="0"/>
        </w:rPr>
        <w:t xml:space="preserve"> apakšpunktā minēto vadlīniju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Prasības sasniegto rādītāju pamatojošajai dokumentācijai nosaka ar atbildīgās iestādes apstiprināto un vadošās iestādes saskaņoto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nodrošina, ka ir saņemtas visas vides aizsardzības vai būvniecības jomu reglamentējošos normatīvajos aktos noteiktās atļaujas, kas nepieciešamas, lai veiktu iekārtas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tai skaitā saimnieciskās darbības veicējiem 10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Projekts tiek  īstenots ne ilgāk kā 24 mēnešu laikā no projekta līguma noslēgšanas dienas, bet ne ilgāk kā līdz 2025.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Projekta  pēcuzraudzības termiņš ir pieci gadi no specifiskā atbalsta finansējuma noslēguma maksājuma veikšanas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civiltiesiskajā līgumā par projekta īstenošanu un projekta iesniegumā noteikto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sedz projekta izmaksu pieaugumu no privātajiem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finansējuma saņēmējs nav saimnieciskās darbības veicējs, tad saimnieciskās darbības veicēji 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rādītāju un iekārtu ilgtspēju un uzturēšanu vismaz piecus gadus pēc specifiskā atbalsta finansējuma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iekārtas, kas uzstādītas projekta ietvaros, nedemontē vismaz piecus gadus pēc specifiskā atbalsta finansējuma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izmaiņu projekta iesniegumā nepieciešamības gadījumā veic  darbību dokumentēšanu un  fotofiksāciju;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finansējuma saņēmējs nav saimnieciskās darbības veicējs, tad vismaz piecus gadus pēc specifiskā atbalsta finansējuma noslēguma maksājuma saņemšanas nodrošina, ka dzīvokļa īpašumā vai dzīvojamā mājā netiek veikta saimnieciskā darbība;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mainot dzīvojamās mājas vai dzīvokļa  īpašumtiesības, tiks pārjaunots līgums par projekta īstenošanu ar sadarbības iestādi vai atmaksāts saņemtais specifiskā atbalsta finansējums.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projekta līgumā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 tai skaitā laikā pirms projekta iesnieguma  apstiprināšanas. Projekta iesniedzēja pienākums ir nodrošināt sadarbības iestādes pārstāvjiem piekļuvi projekta īstenošanas vietai.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iestādei ir tiesības vienpusēji atkāpties no noslēgtā civiltiesiskā līguma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civiltiesisko līgumu par projekta īstenošanu, tai skaitā netiek ievēroti projekta iesniegumā noteiktie termiņi vai ir iestājušies citi apstākļi, kas negatīvi ietekmē vai var ietekmēt: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punktā minētā mērķa sasniegšanu;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saskaņā ar civiltiesisko līgumu par projekta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22-TA-2565</w:t>
    </w:r>
    <w:r>
      <w:br/>
    </w:r>
    <w:r w:rsidR="00000000" w:rsidRPr="00000000" w:rsidDel="00000000">
      <w:rPr>
        <w:rtl w:val="0"/>
      </w:rPr>
      <w:t xml:space="preserve">Izdrukāts 29.07.2026. 21.38 - 1.0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22-TA-2565</w:t>
    </w:r>
    <w:r>
      <w:br/>
    </w:r>
    <w:r w:rsidR="00000000" w:rsidRPr="00000000" w:rsidDel="00000000">
      <w:rPr>
        <w:rtl w:val="0"/>
      </w:rPr>
      <w:t xml:space="preserve">Izdrukāts 29.07.2026. 21.38 - 1.0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noteikumu_projekts_22-TA-2565.docx</dc:title>
</cp:coreProperties>
</file>

<file path=docProps/custom.xml><?xml version="1.0" encoding="utf-8"?>
<Properties xmlns="http://schemas.openxmlformats.org/officeDocument/2006/custom-properties" xmlns:vt="http://schemas.openxmlformats.org/officeDocument/2006/docPropsVTypes"/>
</file>