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politikas mērķa "Konkurentspējīgāka un viedāka Eiropa, veicinot inovatīvas un viedas ekonomiskās pārmaiņas un reģionālo IKT savienojamību" prioritārā virziena "Digitalizācija" 1.3.1. specifiskā atbalsta mērķa "Izmantot digitalizācijas priekšrocības iedzīvotājiem, uzņēmumiem, pētniecības organizācijām un publiskajām iestādēm" 1.3.1.2. pasākumu "Inovācijas laboratorija digitalizācijas priekšrocību izmantošanai" (turpmāk – pasākums) ierobežotas atlases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pieejamais kopējais finansējums ir 1 305 000 </w:t>
      </w:r>
      <w:r w:rsidR="00000000" w:rsidRPr="00000000" w:rsidDel="00000000">
        <w:rPr>
          <w:i w:val="1"/>
          <w:rtl w:val="0"/>
        </w:rPr>
        <w:t xml:space="preserve">euro </w:t>
      </w:r>
      <w:r w:rsidR="00000000" w:rsidRPr="00000000" w:rsidDel="00000000">
        <w:rPr>
          <w:rtl w:val="0"/>
        </w:rPr>
        <w:t xml:space="preserve">(tai skaitā elastības finansējums – 205 832 </w:t>
      </w:r>
      <w:r w:rsidR="00000000" w:rsidRPr="00000000" w:rsidDel="00000000">
        <w:rPr>
          <w:i w:val="1"/>
          <w:rtl w:val="0"/>
        </w:rPr>
        <w:t xml:space="preserve">euro</w:t>
      </w:r>
      <w:r w:rsidR="00000000" w:rsidRPr="00000000" w:rsidDel="00000000">
        <w:rPr>
          <w:rtl w:val="0"/>
        </w:rPr>
        <w:t xml:space="preserve">), ko veido Eiropas Reģionālās attīstības fonda finansējums 1 109 250 </w:t>
      </w:r>
      <w:r w:rsidR="00000000" w:rsidRPr="00000000" w:rsidDel="00000000">
        <w:rPr>
          <w:i w:val="1"/>
          <w:rtl w:val="0"/>
        </w:rPr>
        <w:t xml:space="preserve">euro </w:t>
      </w:r>
      <w:r w:rsidR="00000000" w:rsidRPr="00000000" w:rsidDel="00000000">
        <w:rPr>
          <w:rtl w:val="0"/>
        </w:rPr>
        <w:t xml:space="preserve">(tai skaitā elastības finansējums – 174 956 </w:t>
      </w:r>
      <w:r w:rsidR="00000000" w:rsidRPr="00000000" w:rsidDel="00000000">
        <w:rPr>
          <w:i w:val="1"/>
          <w:rtl w:val="0"/>
        </w:rPr>
        <w:t xml:space="preserve">euro</w:t>
      </w:r>
      <w:r w:rsidR="00000000" w:rsidRPr="00000000" w:rsidDel="00000000">
        <w:rPr>
          <w:rtl w:val="0"/>
        </w:rPr>
        <w:t xml:space="preserve">) un valsts budžeta līdzfinansējums 195 750 </w:t>
      </w:r>
      <w:r w:rsidR="00000000" w:rsidRPr="00000000" w:rsidDel="00000000">
        <w:rPr>
          <w:i w:val="1"/>
          <w:rtl w:val="0"/>
        </w:rPr>
        <w:t xml:space="preserve">euro </w:t>
      </w:r>
      <w:r w:rsidR="00000000" w:rsidRPr="00000000" w:rsidDel="00000000">
        <w:rPr>
          <w:rtl w:val="0"/>
        </w:rPr>
        <w:t xml:space="preserve">(tai skaitā elastības finansējums – 30 876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kopējā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 iestāde no 2026. gada 1. janvāra pēc Eiropas Komisijas lēmuma par vidusposma pārskatu var ierosināt palielināt saskaņā ar vienošanos par projekta īstenošanu pieejamo finansējumu līdz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valsts pārvaldes inovācijas ekosistēmas un vienota eksperimentēšanas ietvara attīstīšana, nodrošinot, ka jaunveidojamās valsts pārvaldes un pašvaldību koplietošanas platformas, kā arī citi šī specifiskā atbalsta mērķa ietvaros izveidotie vai pilnveidotie risinājumi tiek attīstīti, izmantojot inovatīvas tehnoloģijas un pieejas, tai skaitā inovācijas laboratoriju pakalpojumus, fokusējoties uz uzņēmumu attīstības vajadzībām un galveno uzmanību veltot pakalpojuma lietotājam.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tiešās valsts pārvaldes un pašvaldību iestādes, publiskā sektora iestādes, kas uzlabo esošos vai attīsta jaunus digitālos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līdz 2029. gada 31. decembrim, sasniedzot šādu iznākuma rādītāju – publiskā sektora iestāžu skaits, kuras tiek atbalstītas digitālo pakalpojumu un produktu procesu izstrādei, – 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iznākuma rādītājs ir sasniegts, ja vismaz 20 publiskā sektora pakalpojumi un produkti ir izgājuši pilnveides dizaina domāšanas sprintu.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kanceleja, sniedzot atbalstu digitālo pakalpojumu pilnveides dizaina domāšanas sprintu organizēšanā un standartizētās metodikas ieviešanā.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sadarbības iestāde apstiprina projekta iesniegumu un noslēdz vienošanos par projekta īstenošanu, projekta iesniedzējs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sistēmas 2021.–2027. gadam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iznākuma rādītāju;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vispārīgas un specifiskas darbības, kas veicina vienlīdzību, iekļaušanu, diskriminācijas novēršanu un pamattiesību ievērošanu, kā arī rādītāju uzkrāšanu un ziņošanu.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laboratorijas darbības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publisko pakalpojumu dizaina izstrāde inovācijas laboratorijas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laboratorijas darbības attīstīšana;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starpsektoru inovāciju prototipu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ekspertu piesaiste;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digitālo dizaineru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veicina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atlīdzības izmaksas (izņemot virsstundas) atbilstoši Valsts un pašvaldību institūciju amatpersonu un darbinieku atlīdzības likumam, ja nepieciešams, projekta īstenošanā piesaistot jaunus darbiniekus un iesaistot esošo personālu;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tai skaitā ekspertu, speciālistu, konsultantu (tostarp ārvalstu), atlīdzības izmaksas (izņemot virsstundas) atbilstoši normatīvajiem aktiem sabiedriskajā sektorā nodarbināto atlīdzības jomā šo noteikumu 16.1.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un īstenošanas personāla ārvalstu un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un īstenošanas personāls ir nodarbināts projektā vismaz 30 procentu apmērā no normālā darba laika uz darba līguma pamata. Ja projekta vadības un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mācību, semināru, pieredzes apmaiņas un citu laboratorijas darbības pasākumu organizēšanu un īstenošanu saistītās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lektoru, ekspertu, konsultantu, moderatoru atlīdzība (ieskaitot honorārus, ceļošanas izdevumus);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tulkošana;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īres maksa (ja projekta aktivitāšu īstenošanai nepieciešams īrēt telpas ārpus finansējuma saņēmēja juridiskās un faktiskās uzturēšanās adreses);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ekspertu pakalpojumi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minēto darbību plānošanai un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un vietējā sabiedriskā transporta izmaksas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fondu ieviešanā 2021.–2027. gada plānošanas periodā nodrošināma komunikācijas un vizuālās identitātes prasību ievērošana, šo noteikumu </w:t>
      </w:r>
      <w:r w:rsidR="00000000" w:rsidRPr="00000000" w:rsidDel="00000000">
        <w:rPr>
          <w:rtl w:val="0"/>
        </w:rPr>
        <w:t xml:space="preserve">16.3.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apdrošināšanas izmaksas finansējuma saņēmēja projektu vadības un īstenošanas personālam, ja veselības apdrošināšana paredzēta finansējuma saņēmēja iestādē. Ja projekta vadības un īstenošanas personāls ir nodarbināts normālo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noslodzei. Veselības apdrošināšanas izmaksas ir attiecināmas tikai uz laikposmu, kad projekta vadības un īstenošanas personāls ir nodarbināts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izmaksas, kas radušās, pamatojoties uz darba līgumu vai rīkojumu par pretendenta iecelšanu ierēdņa amatā, finansējuma saņēmējs nodrošina, ka projekta vadības un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19.1. apakšpunktā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minētās atbalstāmās darbības attiecināmās izmaksas projekta vadības personālam tiek noteiktas kā fiksēta summa 34 422 </w:t>
      </w:r>
      <w:r w:rsidR="00000000" w:rsidRPr="00000000" w:rsidDel="00000000">
        <w:rPr>
          <w:i w:val="1"/>
          <w:rtl w:val="0"/>
        </w:rPr>
        <w:t xml:space="preserve">euro </w:t>
      </w:r>
      <w:r w:rsidR="00000000" w:rsidRPr="00000000" w:rsidDel="00000000">
        <w:rPr>
          <w:rtl w:val="0"/>
        </w:rPr>
        <w:t xml:space="preserve">kalendāra gadā, pieskaitot 0,64 % no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minētajām tiešajām attiecināmajām izmaksām (neieskaitot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personāla izmaksas) un summu reizinot ar projekta ilgumu gados.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Izmaksas ir attiecināmas no projekta iesnieguma iesniegšanas brīža. Projekta iesniegumā neiekļauj un finansējumu nepiešķir pabeigtām darbībām.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lai pasākuma ietvaros plānotais atbalsts nepārklātos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nodrošina informācijas un publicitātes pasākumus saskaņā ar Regulas Nr.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savā tīmekļvietnē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(zaļais publiskais iepirkums).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23-TA-994</w:t>
    </w:r>
    <w:r>
      <w:br/>
    </w:r>
    <w:r w:rsidR="00000000" w:rsidRPr="00000000" w:rsidDel="00000000">
      <w:rPr>
        <w:rtl w:val="0"/>
      </w:rPr>
      <w:t xml:space="preserve">Izdrukāts 30.07.2026. 00.18 - 1.0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23-TA-994</w:t>
    </w:r>
    <w:r>
      <w:br/>
    </w:r>
    <w:r w:rsidR="00000000" w:rsidRPr="00000000" w:rsidDel="00000000">
      <w:rPr>
        <w:rtl w:val="0"/>
      </w:rPr>
      <w:t xml:space="preserve">Izdrukāts 30.07.2026. 00.18 - 1.0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noteikumu_projekts_23-TA-994.docx</dc:title>
</cp:coreProperties>
</file>

<file path=docProps/custom.xml><?xml version="1.0" encoding="utf-8"?>
<Properties xmlns="http://schemas.openxmlformats.org/officeDocument/2006/custom-properties" xmlns:vt="http://schemas.openxmlformats.org/officeDocument/2006/docPropsVTypes"/>
</file>