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Nacionālās kiberdrošības likuma grozījumi, kā arī Militārās izlūkošanas un drošības dienesta (turpmāk – MIDD) un citu valsts drošības iestāžu darbību reglamentējošo normatīvo aktu grozījumi nav nepieciešami.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25-TA-977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