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ceļu satiksmes pārkāpumu fiksēšanas tehnisko līdzekļu darbības nodrošināšanu</w:t>
      </w:r>
      <w:r>
        <w:br/>
      </w:r>
      <w:r w:rsidR="00000000" w:rsidRPr="00000000" w:rsidDel="00000000">
        <w:rPr>
          <w:rStyle w:val="paragraph_header"/>
          <w:b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uzņemties ilgtermiņa saistības pasākuma "Ceļu satiksmes pārkāpumu fiksēšanas tehnisko līdzekļu darbības nodrošināšana" īstenošanai 2022. gadā – ne vairāk kā 2 050 416 euro, 2023. gadā – ne vairāk kā 2 024 032 euro, 2024. gadā – ne vairāk kā 1 649 675 euro, 2025. gadā – ne vairāk kā 1 336 089 euro, 2026.gadā un turpmāk katru gadu ne vairāk kā 136 560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ievērojot Ceļu satiksmes likuma 43.</w:t>
      </w:r>
      <w:r w:rsidR="00000000" w:rsidRPr="00000000" w:rsidDel="00000000">
        <w:rPr>
          <w:vertAlign w:val="superscript"/>
          <w:rtl w:val="0"/>
        </w:rPr>
        <w:t xml:space="preserve">7</w:t>
      </w:r>
      <w:r w:rsidR="00000000" w:rsidRPr="00000000" w:rsidDel="00000000">
        <w:rPr>
          <w:rtl w:val="0"/>
        </w:rPr>
        <w:t xml:space="preserve"> panta pirmajā un otrajā daļā noteikto, normatīvajos aktos noteiktajā kārtībā noslēgt valsts pārvaldes uzdevumu deleģēšanas līgumus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sabiedrību ar ierobežotu atbildību "Latvijas Valsts ceļi" (turpmāk – Latvijas Valsts ceļi) par transportlīdzekļa vidējā braukšanas ātruma mērīšanas sistēmu uzstādīšanu uz ceļiem un to darbību pārkāpumu fiksēšanai, neapturot transportlīdzekli, uz nenoteiktu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sabiedrību "Ceļu satiksmes drošības direkcija" (turpmāk – Ceļu satiksmes drošības direkcija)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uzstādīto transportlīdzekļu braukšanas ātruma kontroles mērierīču (100 stacionārie fotoradari) darbības nodrošināšanu pārkāpumu fiksēšanai, neapturot transportlīdzekli, līdz laikam, kamēr tie tiks atzīti par derīgiem (atkārtoti verificēti) atbilstoši normatīvajos aktos noteiktajām metroloģiskajām prasībām;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informācijas pieņemšanu un apstrādāšanu valsts informācijas sistēmā “Transportlīdzekļu un to vadītāju valsts reģistrs”, kas par attiecīgo pārkāpumu saņemta no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2.2.1. </w:t>
      </w:r>
      <w:r w:rsidR="00000000" w:rsidRPr="00000000" w:rsidDel="00000000">
        <w:rPr>
          <w:rtl w:val="0"/>
        </w:rPr>
        <w:t xml:space="preserve">apakšpunktā  minētajiem tehniskajiem līdzekļiem, kā arī no  Valsts policijas tehniskajiem līdzekļiem, kas uzstādīti uz ceļiem (pārvietojamie fotoradari) vai specializētajos transportlīdzekļos (automātiskās transportlīdzekļu valsts reģistrācijas numura zīmju nolasīšanas/atpazīšanas un ceļu satiksmē izdarītu pārkāpumu fiksēšanas sistēmas), tās nosūtīšanu Valsts policijai izvērtēšanai un lēmuma par soda piemērošanu pieņemšanai un par minētā lēmuma nosūtīšanu personai, kurai sods piemērots, uz nenoteiktu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Administratīvās atbildības likuma 268.pantā (administratīvā pārkāpuma lietās, kurās pārkāpums izdarīts līdz Administratīvās atbildības likuma spēkā stāšanās dienai – Latvijas Administratīvo pārkāpumu kodeksa 296.pantā) minētā atgādinājuma par brīvprātīgās naudas soda izpildes termiņa beigām nosūtīšanu personai, kurai sods piemērots, uz nenoteiktu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priekšlikumus un iekļaut tos attiecīgajos vidēja termiņa budžeta ietvara likumprojektos, paredzot valsts budžeta likumprojektos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prognozēto valsts pamatbudžeta ieņēmumu apmēru no naudas sodiem, ko piemēro Valsts policija par pārkāpumiem ceļu satiksmē, kas fiksēti ar šā rīkojuma </w:t>
      </w:r>
      <w:r w:rsidR="00000000" w:rsidRPr="00000000" w:rsidDel="00000000">
        <w:rPr>
          <w:rtl w:val="0"/>
        </w:rPr>
        <w:t xml:space="preserve">2.1. </w:t>
      </w:r>
      <w:r w:rsidR="00000000" w:rsidRPr="00000000" w:rsidDel="00000000">
        <w:rPr>
          <w:rtl w:val="0"/>
        </w:rPr>
        <w:t xml:space="preserve"> un </w:t>
      </w:r>
      <w:r w:rsidR="00000000" w:rsidRPr="00000000" w:rsidDel="00000000">
        <w:rPr>
          <w:rtl w:val="0"/>
        </w:rPr>
        <w:t xml:space="preserve">2.2.1. </w:t>
      </w:r>
      <w:r w:rsidR="00000000" w:rsidRPr="00000000" w:rsidDel="00000000">
        <w:rPr>
          <w:rtl w:val="0"/>
        </w:rPr>
        <w:t xml:space="preserve">apakšpunkt</w:t>
      </w:r>
      <w:r w:rsidR="00000000" w:rsidRPr="00000000" w:rsidDel="00000000">
        <w:rPr>
          <w:rtl w:val="0"/>
        </w:rPr>
        <w:t xml:space="preserve">ā  minētajiem tehniskajiem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9 681 598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5 554 988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4 074 326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2 790 690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un turpmāk katru gadu – 806 178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ilgtermiņa saistības pasākuma "Ceļu satiksmes pārkāpumu fiksēšanas tehnisko līdzekļu darbības nodrošināšana" īstenošanai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06.01.00 "Valsts policija":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2022. gadā – 2 010 343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kas saistīti ar šā rīkojuma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minēto valsts pārvaldes uzdevumu izpildi (turpmāk – Ceļu satiksmes drošības direkcijas izdevumi) – 1 453 938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kas saistīti ar šā rīkojuma </w:t>
      </w:r>
      <w:r w:rsidR="00000000" w:rsidRPr="00000000" w:rsidDel="00000000">
        <w:rPr>
          <w:rtl w:val="0"/>
        </w:rPr>
        <w:t xml:space="preserve">2.2.2.</w:t>
      </w:r>
      <w:r w:rsidR="00000000" w:rsidRPr="00000000" w:rsidDel="00000000">
        <w:rPr>
          <w:rtl w:val="0"/>
        </w:rPr>
        <w:t xml:space="preserve"> apakšpunktā  minēto lēmumu par soda piemērošanu pieņemšanu, kā arī to izpildes nodrošināšanu (turpmāk – Valsts policijas izdevumi) – 556 405 euro;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2023. gadā – 1 983 959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1 425 886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policijas izdevumiem – 558 073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2024. gadā – 1 609 602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1 051 717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557 885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 1 296 016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Ceļu satiksmes drošības direkcijas izdevumiem – 738 317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izdevumiem – 557 699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un turpmāk katru gadu – 136 560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Ceļu satiksmes drošības direkcijas izdevumiem – 130 631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Valsts policijas izdevumiem – 5 929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2022.–2025. gadā – 40 073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Iekšlietu ministrija likumprojekta par valsts budžetu kārtējam gadam un likumprojekta par vidēja termiņa budžeta ietvaru sagatavošanas procesā var iesniegt izskatīšanai Ministru kabinetā pamatotus priekšlikumus plānoto valsts pamatbudžeta ieņēmumu, kā arī ilgtermiņa saistību precizēšanai, ievērojot, ka ilgtermiņa saistības atļauts palielināt tikai tad, ja palielinās valsts pamatbudžeta ieņēmumi un ilgtermiņa saistību palielinājums saistīts ar konkrētu izdevumu palielināšanos.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Rīkojums stājas spēkā 2022.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2022. gada 1. janvāri atzīt par spēku zaudējušu Ministru kabineta 2014. gada 29. jūlija rīkojumu Nr.382 “Par Iekšlietu ministrijas ilgtermiņa saistībām ceļu satiksmes pārkāpumu fiksēšanas tehnisko līdzekļu (fotoradaru) darbības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21-TA-336</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21-TA-336</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rīkojuma_projekts_21-TA-336.docx</dc:title>
</cp:coreProperties>
</file>

<file path=docProps/custom.xml><?xml version="1.0" encoding="utf-8"?>
<Properties xmlns="http://schemas.openxmlformats.org/officeDocument/2006/custom-properties" xmlns:vt="http://schemas.openxmlformats.org/officeDocument/2006/docPropsVTypes"/>
</file>