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kases aparāta, hibrīda kases aparāta, kases sistēmas, specializētās ierīces vai iekārtas sertifikācijas priekšrocību piemērošanai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Vispārīgie kritēriji: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saimniecisko darbību veic ilgāk par trim gadiem;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nodokļu maksātājam nav ar tiesas nolēmumu pasludināts maksātnespējas process, uzsākts tiesiskās aizsardzības process vai ārpustiesas tiesiskās aizsardzības process;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nav pieņemts lēmums par saimnieciskās darbības izbeigšanu vai apturēšanu vai nav uzsākts likvidācijas process;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izvērtēšanas brīdī nav uzsākts izslēgšanas process no VID PVN maksātāju reģistra pēc VID iniciatīvas par konstatētajiem pārkāpumiem;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vismaz pēdējo triju gadu laikā un izvērtēšanas brīdī nav konstatēts, ka nodokļu maksātājs vai apkalpojošais dienests ir pārkāpis kases aparātu, hibrīda kases aparātu, kases sistēmu un specializēto ierīču vai iekārtu lietošanas vai apkalpošanas prasības vai specializētai ierīcei vai iekārtai ir mainīta konstrukcija vai programma, radot iespēju slēpt vai samazināt ar nodokļiem un nodevām apliekamo objektu, vai sodāmība par šo pārkāpumu ir dzēsta;</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vismaz pēdējo triju gadu laikā un izvērtēšanas brīdī nodokļu maksātāja amatpersonām nav uzsākts administratīvā pārkāpuma process vai uzlikts administratīvais sods par izvairīšanos no nodokļu vai tiem pielīdzināto maksājumu nomaksas vai par ienākumu, peļņas vai citu ar nodokli apliekamo objektu slēpšanu vai samazināšanu.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24-TA-2285</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24-TA-2285</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noteikumu_konsolidētā_versija_p6_24-TA-2285.docx</dc:title>
</cp:coreProperties>
</file>

<file path=docProps/custom.xml><?xml version="1.0" encoding="utf-8"?>
<Properties xmlns="http://schemas.openxmlformats.org/officeDocument/2006/custom-properties" xmlns:vt="http://schemas.openxmlformats.org/officeDocument/2006/docPropsVTypes"/>
</file>