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19.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investīcijas 4.1.1.2.i. "Atbalsts universitātes un reģionālo slimnīcu veselības aprūpes infrastruktūras stiprināšanai, lai nodrošinātu visaptverošu ilgtspējīgu integrētu veselības pakalpojumu, mazinātu infekciju slimību izplatību, epidemioloģisko prasību nodrošināšanā" finansējuma saņēmēji un finansējuma sadalījums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8"/>
        <w:gridCol w:w="2917"/>
        <w:gridCol w:w="6174"/>
        <w:gridCol w:w="6174"/>
        <w:gridCol w:w="6174"/>
        <w:gridCol w:w="6174"/>
        <w:tblGridChange w:id="0">
          <w:tblGrid>
            <w:gridCol w:w="98"/>
            <w:gridCol w:w="2917"/>
            <w:gridCol w:w="6174"/>
            <w:gridCol w:w="6174"/>
            <w:gridCol w:w="6174"/>
            <w:gridCol w:w="617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Finansējuma saņēmējs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Investīcijai pieejamais attiecināmais finansējums pa finansējuma avotiem (EUR)</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Atveseļošanas un noturības mehānisma plāna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valsts budžeta finansējums PVN segšanai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 = 4 + 6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 = 4 x 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kārtas finansējuma saņēmēji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46 360 758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38 314 676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8 046 082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8 046 082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"Paula Stradiņa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42 043 236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34 746 476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7 296 760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7 296 760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40 971 083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33 860 399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7 110 684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7 110 684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"Liepājas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3 589 856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2 966 823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623 033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623 033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"Ziemeļkurzemes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4 711 486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3 893 790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817 696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817 696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"Vidzemes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7 063 139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5 837 305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1 225 834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1 225 834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"Daugavpils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11 592 291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9 580 406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2 011 885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2 011 885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"Rēzeknes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7 963 226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6 581 179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1 382 047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1 382 047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"Jēkabpils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3 643 000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3 010 744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632 256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632 256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"Jelgavas pilsētas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4 818 894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3 982 557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836 337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836 337</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kārtas finansējuma saņēmēji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"Traumatoloģijas un ortopēdijas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3 281 235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2 711 765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569 470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569 470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"Nacionālais psihiskās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597 848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494 089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103 759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103 759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"Nacionālais rehabilitācijas centrs "Vaivari""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1 969 546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1 627 724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341 822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341 822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"Piejūras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740 600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128 534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128 534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psihoneiroloģiskā slimnīca "Ainaži""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350 901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290 001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"Liepājas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1 197 900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207 900</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180 894 999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149 500 000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31 394 999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31 394 999</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24-TA-3330</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24-TA-3330</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noteikumu_konsolidētā_versija_p_24-TA-3330.docx</dc:title>
</cp:coreProperties>
</file>

<file path=docProps/custom.xml><?xml version="1.0" encoding="utf-8"?>
<Properties xmlns="http://schemas.openxmlformats.org/officeDocument/2006/custom-properties" xmlns:vt="http://schemas.openxmlformats.org/officeDocument/2006/docPropsVTypes"/>
</file>