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novembrī (prot. Nr. 74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akciju sabiedrības "Latvenergo" vispārējo stratēģisko mērķi</w:t>
      </w:r>
      <w:r>
        <w:br/>
      </w:r>
      <w:r w:rsidR="00000000" w:rsidRPr="00000000" w:rsidDel="00000000">
        <w:rPr>
          <w:rStyle w:val="paragraph_header"/>
          <w:b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Publiskas personas kapitāla daļu un kapitālsabiedrību pārvaldības likuma</w:t>
      </w:r>
      <w:r w:rsidR="00000000" w:rsidRPr="00000000" w:rsidDel="00000000">
        <w:rPr>
          <w:rtl w:val="0"/>
        </w:rPr>
        <w:t xml:space="preserve"> 7. pantu, noteikt akciju sabiedrības "Latvenergo" vispārējo stratēģisko mērķi – sekmēt klimatneitrālas Latvijas konkurētspēju un izaugsmi un palielināt Latvenergo koncerna vērtību mājas tirgū Baltijā un ārpus tā, ilgtspējīgi, inovatīvi un ekonomiski pamatoti attīstot un nodrošinot preces un pakalpojumus enerģijas un ar to saistītu biznesu vērtību ķēdēs un efektīvi pārvaldot valsts attīstībai un drošībai stratēģiski nozīmīgus resursus un infrastruktūru.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2016. gada 31. augusta rīkojumu Nr. 489 "Par akciju sabiedrības "Latvenergo" vispārējo stratēģisko mērķi"</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Latvijas Vēstnesis, 2016, 169.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21-TA-222</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21-TA-222</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rīkojuma_projekts_21-TA-222.docx</dc:title>
</cp:coreProperties>
</file>

<file path=docProps/custom.xml><?xml version="1.0" encoding="utf-8"?>
<Properties xmlns="http://schemas.openxmlformats.org/officeDocument/2006/custom-properties" xmlns:vt="http://schemas.openxmlformats.org/officeDocument/2006/docPropsVTypes"/>
</file>