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tā sadarbības partnerus un piesaistes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iesaistīto institūciju tiesības pieprasīt un saņemt tiešu pieeju datiem valsts informācijas sistēmās un pieprasāmo datu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mazināt šķēršļus vispārējās izglītības satura apguvei: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nodrošinot portatīvās datortehnikas pieejamību izglītojamiem no sociāli neaizsargātām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nodrošinot datu pārraides pieejamību kvalitatīvai, jēgpilnai un plānveidīgai digitālo tehnoloģiju izmantošanai mācību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minētais mērķis, –  izglītojamie no sociāli neaizsargātām grupām, kuri mācās vispārējās pamata un vidējās izglītības programmās,  speciālās izglītības programmās, profesionālās pamatizglītības programmās, profesionālās vidējās izglītības programmās, ko īsteno pēc pamatizglītības apguves,  un arodizglītības programmās, ko īsteno pēc pamatizglītības apguves, un kuri atbilst vismaz vienam statusam: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ārpusģimenes aprūpē esoši izglītojamie – izglītojamie no valsts sociālās aprūpes centriem, pašvaldību un privātpersonu dibinātām bērnu aprūpes institūcijām, izglītojamie audžuģimenēs un aizbildnībā esošie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no trūcīgām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izglītojamie no maznodrošinātām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ar invaliditāti un izglītojamie, kuriem  ir pedagoģiski medicīniskās komisijas atzinums vai kuriem veikts pedagoģiskais vai psiholoģiskais izvērtējums un sniegts atzinums, kur rekomendēts  piešķirt un izmantot datortehniku;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izglītojamie no daudzbērnu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izglītojamie no viena vecāka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izglītojamie, kurus sadarbības partneris definējis kā sociāli neaizsargātos investīcijas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 </w:t>
      </w:r>
      <w:r w:rsidR="00000000" w:rsidRPr="00000000" w:rsidDel="00000000">
        <w:rPr>
          <w:rtl w:val="0"/>
        </w:rPr>
        <w:t xml:space="preserve">apakšpunk</w:t>
      </w:r>
      <w:r w:rsidR="00000000" w:rsidRPr="00000000" w:rsidDel="00000000">
        <w:rPr>
          <w:rtl w:val="0"/>
        </w:rPr>
        <w:t xml:space="preserve">tā minētais mērķis, – pašvaldību un tiešās pārvaldes iestāžu dibinātās vispārējās izglītības iestādes (izņemot pirmskolas), tai skaitā speciālās izglītības iestādes, un profesionālās pamata un vidējās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rādītājs – līdz 2022. gada 31. decembrim nodrošinātas 13 310 informācijas un komunikācijas tehnoloģiju (turpmāk – IKT) aprīkojuma vienības mērķa grupai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rādītājs – līdz 2023. gada 31. decembrim nodrošinātas 26 620 IKT aprīkojuma vienības mērķa grupai (izglītojamiem) – kumulatīvi;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līdz 2024. gada 30. jūnijam veikts datu apkopojums un analīze par interneta datu pārraides jaudas problēmām un vajadzībām izglītības iestādēs un sagatavoti priekšlikumi datu pārraides iespēju pilnveidošanai, tostarp izglītības iestāžu iekštīkla funkcionēšanas uzlabojumiem (turpmāk – priekšizpēte).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atbildīgās nozares ministrijas funkcijas pilda Izglītības un zinātnes ministrija (turpmāk – atbildīgā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noteikto investīcijas mērķa rādītāju uzraudzību veic Centrālā finanšu un līgumu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finansējuma saņēmējs un investīcijas projekta īstenotājs ir Izglītības un zinātnes ministrija (turpmāk –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investīcijas projekta īstenošanā iesaista sadarbības partnerus, noslēdzot ar tiem sadarbības līgumu par pušu savstarpējām saistībām investīcijas projekta īstenošanā (turpmāk – sadarbības līgums) vai izdodot rīkojumu par investīcijas projekta īstenošanu (turpmāk –  rīkojums):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dibinātas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īsteno investīcijas projektu saskaņā ar normatīvajiem aktiem par Atveseļošanas un noturības mehānisma plāna īstenošanas un uzraudzības kārtību un šiem noteikumiem un ir atbildīgs par sadarbības partneru pienākumu izpildi un sadarbības partnera īstenotajām funkcijām investīcijas projekta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Atveseļošanas fonda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Atveseļošanas fonda finansējums ir 15 000 000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3 000 000 </w:t>
      </w:r>
      <w:r w:rsidR="00000000" w:rsidRPr="00000000" w:rsidDel="00000000">
        <w:rPr>
          <w:i w:val="1"/>
          <w:rtl w:val="0"/>
        </w:rPr>
        <w:t xml:space="preserve">euro</w:t>
      </w:r>
      <w:r w:rsidR="00000000" w:rsidRPr="00000000" w:rsidDel="00000000">
        <w:rPr>
          <w:rtl w:val="0"/>
        </w:rPr>
        <w:t xml:space="preserve">, sedz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Atveseļošanas fonda finansējums plānots viena investīcijas projekta īstenošanai, tai skaitā 11 000 000 </w:t>
      </w:r>
      <w:r w:rsidR="00000000" w:rsidRPr="00000000" w:rsidDel="00000000">
        <w:rPr>
          <w:i w:val="1"/>
          <w:rtl w:val="0"/>
        </w:rPr>
        <w:t xml:space="preserve">euro </w:t>
      </w:r>
      <w:r w:rsidR="00000000" w:rsidRPr="00000000" w:rsidDel="00000000">
        <w:rPr>
          <w:rtl w:val="0"/>
        </w:rPr>
        <w:t xml:space="preserve">portatīvās datortehnikas iegādei mācību procesa nodrošināšanai izglītojamiem no sociāli neaizsargātām 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projektā plānotajām darbībām un izmaksām maksimālā Atveseļošanas fonda finansējuma intensitāte ir 100 procenti no investīcijas projekta kopējām attiecināmajām izmaksām bez PVN.</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izmaksu attiecināmības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projektā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 mācību procesa nodrošināšanai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sadarbības partneru izglītības iestāžu mērķa grupas izglītojamiem no sociāli neaizsargātām grupām, izmantojot Elektroniskās iepirkumu sistēmas iepirkuma katalogu, tostarp paredzot atbalstu lietotāju grupu instruktāžai vai mācībām, kā arī vadlīniju izstrādei par portatīvās datortehnikas piešķiršanu izglītojamiem lietošanai;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pārraides interneta pakalpojuma un iekštīkla funkcionēšanas uzlabojumi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projekta informācijas un publicitātes pasākumi, tai skaitā lai informētu par investīcijas projektu kā par stratēģiski svarīgu.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sadala portatīvo datortehniku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triju mēnešu laikā pēc finansējuma saņēmēja uzaicinājuma ir noslēguši sadarbības līgumu ar finansējuma saņēmēju vai par kuriem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Minētos datus iegūst no šādiem informācijas sistēmu un datu turētājiem: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Bāriņtiesu informācijas sistēmas (BARIS) par ārpusģimenes aprūpē esošajām personām pašvaldību un privātpersonu dibinātajās bērnu aprūpes institūcijās, personām audžuģimenēs un aizbildnībā esošām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Labklājības ministrijas Valsts sociālās politikas monitoringa informācijas sistēmas (SPOLIS) par personām no valsts sociālās aprūpes centriem;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pašvaldību sociālās palīdzības un sociālo pakalpojumu administrēšanas lietojumprogrammas (SOPA) par personām ģimenēs, kurām ir piešķirts trūcīgās vai maznodrošinātās mājsaimniecības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izglītības informācijas sistēmas par izglītojamiem izglītības iestādēs, tai skaitā izglītojamiem (personām līdz 18 gadu vecumam), par kuriem saņemts pedagoģiski medicīniskās komisijas atzinums, un par izglītojamiem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Centrālās statistikas pārvaldes kopsavilkuma datus par izglītojamiem viena vecāka ģimenēs un daudzbērnu ģimenēs.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minētie sadarbības partneri nodrošina šādu prasību izpildi investīcijas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nodrošina attālinātās mācības, ievērojot normatīvajos aktos noteikto kārtību attālināto mācību organizēšanā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piešķiršanai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mērķa grupas izglītojamiem  sadarbības partneris izstrādā un apstiprina iekšējo kārtību, kas tostarp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piešķiršanas juridiskos aspektus, ņemot vērā šo noteikumu </w:t>
      </w:r>
      <w:r w:rsidR="00000000" w:rsidRPr="00000000" w:rsidDel="00000000">
        <w:rPr>
          <w:rtl w:val="0"/>
        </w:rPr>
        <w:t xml:space="preserve">16.5. </w:t>
      </w:r>
      <w:r w:rsidR="00000000" w:rsidRPr="00000000" w:rsidDel="00000000">
        <w:rPr>
          <w:rtl w:val="0"/>
        </w:rPr>
        <w:t xml:space="preserve">apakšpunkta</w:t>
      </w:r>
      <w:r w:rsidR="00000000" w:rsidRPr="00000000" w:rsidDel="00000000">
        <w:rPr>
          <w:rtl w:val="0"/>
        </w:rPr>
        <w:t xml:space="preserve"> nosacījumus un, ja nepieciešams, iekļaujot: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 ka portatīvo datortehniku izsniedz lietošanai uz noteikto laiku ārpus izglītības iestādes, kur izglītojamais apgūst attiecīgo izglītības programmu, balstoties uz izglītojamā vai izglītojamā likumiskā pārstāvja (ja izglītojamais nav sasniedzis 18 gadu vecumu) pieteikumu par portatīvās datortehnikas piešķiršanu;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veidlapas paraugu pieteikumam par portatīvās datortehnikas piešķiršanu lietošanai uz noteiktu laiku šo noteikumu </w:t>
      </w:r>
      <w:r w:rsidR="00000000" w:rsidRPr="00000000" w:rsidDel="00000000">
        <w:rPr>
          <w:rtl w:val="0"/>
        </w:rPr>
        <w:t xml:space="preserve">16.5.4. </w:t>
      </w:r>
      <w:r w:rsidR="00000000" w:rsidRPr="00000000" w:rsidDel="00000000">
        <w:rPr>
          <w:rtl w:val="0"/>
        </w:rPr>
        <w:t xml:space="preserve">apakšpunktā</w:t>
      </w:r>
      <w:r w:rsidR="00000000" w:rsidRPr="00000000" w:rsidDel="00000000">
        <w:rPr>
          <w:rtl w:val="0"/>
        </w:rPr>
        <w:t xml:space="preserve"> minētajā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piešķiršanas kritērijus, vienlaikus paredzot nodrošināt portatīvo datortehniku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izglītojamo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portatīvās datortehnikas piešķiršanā sadarbības partneri izmanto Izglītības resursu uzskaites un monitoringa informācijas sistēmu, tiklīdz ir nodrošināta tās funkcionalitāte;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portatīvās datortehnikas efektīvam izmantojumam un pārvaldībai sadarbības partneri nodrošina lietotāju kontu pārvaldību un portatīvās datortehnikas izmantošanas monitoringu, uzturēšanu, tai skaitā datortehnikas konfigurāciju, apkopi, tehnoloģiju savietojamības risinājumus, un nodrošina atbalstu un stimulus lietotāju digitālo prasmju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 var nodrošināt iespēju lietot portatīvo datortehniku: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privātpersonu dibinātajā bērnu aprūpes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iestādē, kur izglītojamais apgūst attiecīgo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izglītības iestādes, kur  izglītojamais apgūst attiecīgo izglītības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noteiktās darbības izpildi pamato finansējuma saņēmēja un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 sadarbības partnera abpusēji parakstīts portatīvās datortehnikas pieņemšanas un  nodošanas akts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portatīvās datortehnikas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īstenošanai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 un ar mācībām saistīto pakalpojumu izmaksas portatīvās datortehnikas lietotājiem un administratoriem;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investīcijas projekta vadībai un īstenošanas personālam (piemēram, IKT speciālistiem, biznesa procesa analītiķiem, datu speciālistiem, komunikācijas ekspertiem) uz darba vai uzņēmumu līguma pamata uz noteiktu laiku, tai skaitā normatīvajos aktos darba atlīdzības un nodokļu politikas jomā noteiktās piemaksas un nodokļi;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vadlīniju izstrādei par portatīvās datortehnikas piešķiršanu izglītojamiem lietošanai ārpus izglītības iestādes, kur izglītojamais apgūst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vietējo un ārvalstu komandējumu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informācijas sistēmu, reģistru saslēgumu (saskarņu) veidošanas izmaksas, ja deleģējums neparedz datus iegūt bez 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darbības īstenošanai, ievērojot normatīvajos aktos publisko iepirkumu jomā noteiktās prasības, tai skaitā ekspertīzes un konsultāciju pakalpojumu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IKT risinājumu ieviešanas, aprīkojuma un iekārtu iegādes un uzstādīšanas izmaksas, licenču vai programmatūras iegādes izmaksas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pārraides interneta pakalpojuma un iekštīkla nodrošinājuma izmaksas, tai skaitā pieslēguma izveides un tehnoloģisko risinājumu izstrādes un iegādes izmaksas, projektēšanas, būvdarbu veikšanas izmaksas un izmaksas, kas saistītas ar darbu nodošanu ekspluatācijā, ja tās nav paredzētas līgumā par būvdarbu veikšanu, kā arī citas izmaksas, pamatojoties uz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priekšizpētes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izmaksas ir paredzētas standarta komplektācijas portatīvās datortehnikas iegādei, neparedzot speciālās programmatūras vai aprīkojuma iegādi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mērķa grupas vajadzību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minētais sadarbības partneris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prasību izpildi nodrošina  par saviem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šo noteikumu spēkā stāšanās brīža. Izmaksas par darbībām, kuras tiek pabeigtas līdz investīcijas projekta iesnieguma apstiprināšanai, nav attiecināmas.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Investīcijas projekta vērtēšanas, īstenošanas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10 darbdienu laikā pēc šo noteikumu spēkā stāšanās atbildīgā nozares ministrija nosūta finansējuma saņēmējam uzaicinājumu iesniegt investīcijas projekta iesniegumu Kohēzijas politikas fondu vadības informācijas sistēmā (turpmāk – vadības informācijas sistēma) tās norādītajā investīcijas projekta iesnieguma iesniegšanas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uzaicinājumā noteiktajam termiņam sagatavo un iesniedz vadības informācijas sistēmā investīcijas projekta iesniegumu, aizpildot definētās investīcijas projekta iesnieguma sadaļas.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 investīcijas projekta iesnieguma izvērtēšanas konstatējusi, ka investīcijas projekta iesniegums atbilst izvirzītajām prasībām, tā apstiprina investīcijas projekta iesniegumu vadības informācijas sistēmā un informē finansējuma saņēmēju par investīcijas projekta iesnieguma apstiprināšanu, lai slēgtu vienošanos par investīcijas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atbildīgās nozares ministrijas apstiprinājuma saņemšanas par investīcijas projekta iesnieguma atbilstību šo noteikumu prasībām Centrālā finanšu un līgumu aģentūra noslēdz vienošanos par investīcijas projekta īstenošanu ar finansējuma saņēmēju atbilstoši šiem noteikumiem, tai skaitā iekļaujot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Centrālās finanšu un līgumu aģentūras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īstenošanas un uzraudzības nosacījumi, tai skaitā nosacījumi investīcijas projekta dokumentācijas iesniegšanai un izskatīšanai;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pārbaužu veikšanas nosacījumi, arī sadarbības partnera līmenī, tai skaitā paredzot izlases veida pārbaudes interešu konflikta, korupcijas, krāpšanas un dubultfinansējuma riska novēršanai, kā arī mērķu sasniegšanu pamatojošās dokumentācijas un datu ticamības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veikšanas un grāmatvedības uzskaites kārtība, tai skaitā  PVN maksājumu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kārtība, kādā finansējuma saņēmējs apliecina sasniegtos rādītājus, kā arī nodod nozares ministrijai informāciju par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nacionālo rādītāju;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datu ievadei vadības informācijas sistēmā, datu ievades regularitāte, kas ir nepieciešama, lai uzraudzītu Atveseļošanas fonda plāna ieviešanas progresu un nodrošinātu datu pieejamību un to apstrādi atbilstoši normatīvajiem aktiem par Eiropas Savienības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investīcijas projekta īstenošanu saistīto dokumentu un datu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pienākums uzkrāt investīcijas projekta dalībnieku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pienākums nodrošināt investīcijas projekta sadarbības partneriem izvirzīto prasību un nosacījumu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korektīvo darbību piemērošanas nosacījumi, ja netiek izpildītas vienošanās prasības, tai skaitā netiek sasniegti vai tiek tikai daļēji sasniegti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rādītāji. Ņemot vērā atbildīgās nozares ministrijas atzinumu par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minētā nacionālā rādītāja sasniegšanu, Centrālā finanšu un līgumu aģentūra ir tiesīga samazināt investīcijas projekta izdevumu summu, piemērojot proporcionalitātes principu, ja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minētais nacionālais rādītājs nav sasniegts vai ir sasniegts tikai daļēji;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vienošanās par investīcijas projekta īstenošanu darbības laiks, tās grozīšanas un izbeigšanas kārtība, paredzot, ka Centrālajai finanšu un līgumu aģentūrai ir tiesības vienpusēji atkāpties no noslēgtās vienošanās par investīcijas projekta īstenošanu jebkurā no šādiem gadījumiem: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investīcijas projekta īstenošanu, tai skaitā neievēro investīcijas projektā noteiktos termiņus, vai ir iestājušies citi apstākļi, kas negatīvi ietekmē vai var ietekmēt investīcijas mērķa vai noteikto 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projekta īstenošanas laikā apzināti ir sniedzis nepatiesu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ietvaros piešķirto finansējumu attiecībā uz tām pašām attiecināmajām izmaksām finansējuma saņēmējs apvieno ar citu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par investīcijas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īstenojot investīcijas projektu, maksājumus investīcijas projekta ietvaros veic no līdzekļiem, kas investīcijas projekta īstenošanai paredzēti Izglītības un zinātnes ministrijas budžetā.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vienošanās par investīcijas projekta īstenošanu noslēgšanas finansējuma saņēmējs piecu darbdienu laikā vadības informācijas sistēmā iesniedz plānoto maksājumu pieprasījumu iesniegšanas grafiku.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saņēmējam ir pienākums kopā ar pirmo maksājumu pieprasījumu un pēc atbildīgās nozares ministrijas pieprasījuma (ja nepieciešams) vadības informācijas sistēmā sniegt apliecinājumu, ka investīcijas projekta ietvaros neveic ar PVN apliekamus darījumus vai veic darījumus, uz kuriem nav attiecināms Pievienotās vērtības nodokļa likums.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pieprasījumu investīcijas projekta īstenošanai nepieciešamā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sagatavo un iesniedz saskaņā ar normatīvajiem aktiem par kārtību, kādā veic gadskārtējā valsts budžeta likumā noteiktās apropriācijas izmaiņas,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ir pienākums atmaksāt pārmaksāto PVN daļu, ja investīcijas projektā sākotnēji plānotais PVN apjoms ir lielāks, nekā faktiski nepieciešams.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atsevišķu PVN izmaksu uzskaiti un nodalīšanu.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atver atsevišķu pamatbudžeta izdevumu kontu Valsts kasē visu ar investīcijas projekta īstenošanu saistīto izmaksu veikšanai, nodrošinot, ka investīcijas projekta īstenošanas finanšu plūsma tiek nodalīta no citām finanšu plūsmām investīcijas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tā sadarbības partneri nodrošina, ka iepirkumi, kas nepieciešami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tiek veikti kā sociāli atbildīgi iepirkumi atbilstoši Eiropas Savienības un Latvijas Republikas iepirkumus regulējošajiem normatīvajiem aktiem, īstenojot atklātu, pārredzamu, nediskriminējošu un konkurenci nodrošinošu procedūru. Atbalstāma ir vides prasību integrācija preču un pakalpojumu iepirkumos –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iesniedz iepirkumu plānu vadības informācijas sistēmā par visiem investīcijas ieviešanai plānotajiem iepirkumiem, kuru rīkošanai paredzēts piemērot publisko iepirkumu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 nodrošina, ka visi principa "nenodarīt būtisku kaitējumu" nosacījumi, kas ietverti investīcijas projekta iesniegumā, tiek ievēroti.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ir atbildīgs par investīcijas projekta ietvaros piešķirtā finansējuma izlietošanu atbilstoši apstiprinātajam investīcijas projekta iesniegumam, nosacījumiem un termiņiem,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atbilstošu un savlaicīgu mērķu sasniegšanu, datu ticamību un izsekojamību;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izstrādā vai pilnveido Atveseļošanas fonda plāna īstenošanas nodrošināšanai nepieciešamos iekšējos tiesību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partneri nodrošina investīcijas projekta rezultātu ilgtspēju, tai skaitā nodrošinot portatīvās datortehnikas un izveidotās infrastruktūras darbību un izmantošanu izglītības mērķiem vismaz trīs gadus pēc  īpašumtiesību iegūšanas.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un zinātnes ministrija nodrošina, ka uzdevumi, kurus tā pilda kā atbildīgā nozares ministrija, tiek nodalīti no tiem uzdevumiem, kurus tā pilda kā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dokumentācijas, investīcijas projekta līguma, veikto darbu, piegāžu un sniegto pakalpojumu apliecinošu dokumentu, veikto maksājumu apliecinošu dokumentu oriģinālu vai to atvasinājumu ar juridisko spēku, kā arī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nodrošina Centrālās finanšu un līgumu aģentūras, Izglītības un zinātnes ministrijas, Eiropas Komisijas, Eiropas Biroja krāpšanas apkarošanai, Korupcijas novēršanas un apkarošanas biroja, Valsts kontroles un Iepirkumu uzraudzības biroja pārstāvjiem, kā arī citu kompetento institūciju pārstāvjiem pieeju visu ar investīcijas projekta īstenošanu saistīto dokumentu oriģināliem vai atvasinājumiem ar juridisku spēku un grāmatvedības sistēmai, kā arī attiecīgā investīcijas projekta īstenošanas vietai. Finansējuma saņēmējs nodrošina iespējas iepriekš minēto institūciju pārstāvjiem veikt uzraudzību un kontroli visā investīcijas projekta darbības laikā, izpildot šo institūciju likumīgās prasības, un brīvu piekļuvi finansējuma saņēmēja grāmatvedības un finanšu dokumentiem, kas saistīti ar investīcijas projekta īstenošanu, kā arī citiem dokumentiem, informācijai, finanšu līdzekļiem, telpām un citām materiālajām vērtībām, kā arī izpilda citas šo institūciju likumīgās prasības, lai pārliecinātos, ka investīcijas projekta īstenošanā nav konstatējamas interešu konflikta, korupcijas, krāpšanas un dubultā finansējuma pazīmes.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Atbildīgā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investīcijas mērķa un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minētā nacionālā rādītāja un tā progresa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minētā nacionālā rādītāja pārbaudes, tai skaitā rādītāju pamatojošās dokumentācijas un datu ticamības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minētā nacionālā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iekšējās kontroles sistēmas izstrādi, īstenošanu, uzraudzību, tai skaitā iekšējo auditu, un pilnveidi.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sagatavotu Atveseļošanas fonda plāna ieviešanas ziņojumu un maksājuma pieprasījumu Eiropas Komisijai, atbildīgā nozares ministrija nodrošina informācijas sniegšanu Finanšu ministrijai kā Atveseļošanas fonda plāna koordinatoram par investīcijas mērķu sasniegšanu. Atbildīgajai nozares ministrijai ir tiesības pieprasīt informācijas sagatavošanai nepieciešamo informāciju no finansējuma saņēmēja un tā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pēc savstarpējas vienošanās citā formā 10 darbdienu laikā pēc finansējuma saņēmēja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Investīcijas projektu īsteno ne ilgāk kā līdz 2026. gada 30. jūnijam.  Centrālā finanšu un līguma aģentūra veic investīcijas projekta noslēguma dokumentācijas pārbaudi un noslēguma maksājumu līdz 2026. gada 31. augustam.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22-TA-2260</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22-TA-2260</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noteikumu_projekts_22-TA-2260.docx</dc:title>
</cp:coreProperties>
</file>

<file path=docProps/custom.xml><?xml version="1.0" encoding="utf-8"?>
<Properties xmlns="http://schemas.openxmlformats.org/officeDocument/2006/custom-properties" xmlns:vt="http://schemas.openxmlformats.org/officeDocument/2006/docPropsVTypes"/>
</file>