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Kriminālprocesa likumā (Latvijas Republikas Saeimas un Ministru Kabineta Ziņotājs, 2005, 11., 20. nr.; 2006, 4. nr.; 2007, 3., 13. nr.; 2008, 1., 15. nr.; 2009, 9., 14., 15. nr.; Latvijas Vēstnesis, 2010, 19., 178. nr.; 2011, 117. nr.; 2012, 92., 189. nr.; 2013, 6., 21., 61., 112., 183., 187., 252. nr.; 2014, 113., 214. nr.; 2015, 11., 29., 140., 235. nr.; 2016, 48., 241. nr.; 2017, 75., 132., 203. nr.; 2018, 132., 201. nr.; 2019, 248.A nr.; 2020, 119.C, 232., 250. nr.; 2021, 12.A, 45.B, 202. nr.; 2022, 120., 204. nr.; 2023, 123., 203. nr.; 2024, 124., 196., 226. nr.; 2026, 51., 75.A nr.) šādus grozījumus: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Papildināt 66. panta pirmo daļu ar 17. 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"17) iesniegt lūgumu par kriminālprocesa nodošanu saskaņā ar Eiropas Parlamenta un Padomes 2024. gada 27. novembra regulu (ES) 2024/3011 par tiesvedības nodošanu krimināllietās (turpmāk – regula Nr. 2024/3011)."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2. </w:t>
      </w:r>
      <w:r w:rsidR="00000000" w:rsidRPr="00000000" w:rsidDel="00000000">
        <w:rPr>
          <w:rtl w:val="0"/>
        </w:rPr>
        <w:t xml:space="preserve">Papildināt 97.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pirmo daļu ar 12. 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"12) iesniegt lūgumu par kriminālprocesa nodošanu saskaņā ar regulu Nr. 2024/3011."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Papildināt 723. pantu ar otro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"(2) Kriminālprocesa pārņemšana Latvijā pēc Eiropas Savienības dalībvalsts kriminālprocesa nodošanas pieprasījuma notiek saskaņā ar  regulu Nr. 2024/3011. Eiropas Savienības dalībvalstīm, kurām nav saistoša regula Nr. 2024/3011, piemēro šajā nodaļā noteikto kārtību."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4.</w:t>
      </w:r>
      <w:r w:rsidR="00000000" w:rsidRPr="00000000" w:rsidDel="00000000">
        <w:rPr>
          <w:rtl w:val="0"/>
        </w:rPr>
        <w:t xml:space="preserve"> Papildināt 724. 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Saskaņā ar regulas Nr. 2024/3011 20. pantu šā panta pirmajā un otrajā daļā minētās iestādes ir centrālās iestādes, kuras pārsūta un saņem kriminālprocesa nodošanas pieprasījumus."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5. </w:t>
      </w:r>
      <w:r w:rsidR="00000000" w:rsidRPr="00000000" w:rsidDel="00000000">
        <w:rPr>
          <w:rtl w:val="0"/>
        </w:rPr>
        <w:t xml:space="preserve">Papildināt likumu ar 724.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724.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Eiropas Savienības dalībvalsts kriminālprocesa nodošanas pieprasījuma saņēmēja iestāde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dalībvalsts kriminālprocesa nodošanas pieprasījuma saņēmēja iestāde (turpmāk – pieprasījuma saņēmēja iestāde) regulas Nr. 2024/3011 2. panta 4. punkta izpratnē ir jebkura izmeklēšanas iestāde, prokuratūras struktūrvienība vai tiesa, kuras kompetencē ir pieņemt lēmumu par piekrišanu vai atteikumu nodot kriminālprocesu Latvijai."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6.</w:t>
      </w:r>
      <w:r w:rsidR="00000000" w:rsidRPr="00000000" w:rsidDel="00000000">
        <w:rPr>
          <w:rtl w:val="0"/>
        </w:rPr>
        <w:t xml:space="preserve"> Papildināt likumu ar 728.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"728.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 pants. Sūdzības izskatīšana par piekrišanu nodot kriminālprocesu Latvijai pēc Eiropas Savienības dalībvalsts kriminālprocesa nodošanas pieprasījuma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Cietušais, aizdomās turētais un apsūdzētais var iesniegt sūdzību par pieprasījuma saņēmējas iestādes lēmumu par piekrišanu nodot kriminālprocesu Latvijai pēc Eiropas Savienības dalībvalsts kriminālprocesa nodošanas pieprasījuma.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Sūdzību par šā panta pirmajā daļā minēto lēmumu iesniedz pieprasījuma saņēmējai iestādei, un tā  nekavējoties to nosūta rajona (pilsētas)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(3) Sūdzību izskata rajona (pilsētas) tiesas tiesnesis rakstveida procesā regulas Nr. 2024/3011 17. panta 2. punktā noteiktajā termiņā.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(4) Izskatot sūdzību, tiesnesis pieņem vienu no šādiem lēmumiem: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atstāt negrozītu lēmumu par piekrišanu kriminālprocesu nodot Latvijai negrozītu;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atcelt lēmumu par piekrišanu kriminālprocesa nodošanai.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(5) Tiesneša lēmums nav pārsūdzams.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(6) Par pieņemto lēmumu tiesnesis informē pieprasījuma saņēmēju iestādi, nosūtot pieņemto lēmumu un ar sūdzības izskatīšanu saistītos materiālus."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7.</w:t>
      </w:r>
      <w:r w:rsidR="00000000" w:rsidRPr="00000000" w:rsidDel="00000000">
        <w:rPr>
          <w:rtl w:val="0"/>
        </w:rPr>
        <w:t xml:space="preserve"> Papildināt 741. 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Eiropas Savienības dalībvalsts pieprasījumu par kriminālprocesa nodošanu citai dalībvalstij izpilda saskaņā ar regulu Nr. 2024/3011. Eiropas Savienības dalībvalstīm, kurām nav saistoša regula Nr. 2024/3011, piemēro šajā nodaļā noteikto kārtību."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8.</w:t>
      </w:r>
      <w:r w:rsidR="00000000" w:rsidRPr="00000000" w:rsidDel="00000000">
        <w:rPr>
          <w:rtl w:val="0"/>
        </w:rPr>
        <w:t xml:space="preserve"> Papildināt 742. 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Saskaņā ar regulas Nr. 2024/3011 20. pantu šā panta pirmajā un otrajā daļā minētās iestādes ir centrālās iestādes, kuras pārsūta un saņem kriminālprocesa nodošanas pieprasījumus."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9.</w:t>
      </w:r>
      <w:r w:rsidR="00000000" w:rsidRPr="00000000" w:rsidDel="00000000">
        <w:rPr>
          <w:rtl w:val="0"/>
        </w:rPr>
        <w:t xml:space="preserve"> Papildināt likumu ar 742.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742.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Eiropas Savienības dalībvalsts kriminālprocesa nodošanas pieprasījuma iesniedzēja iestāde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Kriminālprocesa nodošanas pieprasījuma iesniedzēja iestāde (turpmāk – pieprasījuma iesniedzēja iestāde) regulas Nr. 2024/3011 2. panta 3. punkta izpratnē ir: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izmeklēšanā – izmeklētājs ar uzraugošā prokurora piekrišanu;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kriminālvajāšanā – prokurors;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iztiesāšanas laikā – tiesas sastāvs."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10.</w:t>
      </w:r>
      <w:r w:rsidR="00000000" w:rsidRPr="00000000" w:rsidDel="00000000">
        <w:rPr>
          <w:rtl w:val="0"/>
        </w:rPr>
        <w:t xml:space="preserve"> Papildināt likumu ar 743.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743.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Personas informēšanas pienākums par nodomu izdot kriminālprocesa nodošanas pieprasījumu Eiropas Savienības dalībvalstij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Pieprasījuma iesniedzēja iestāde informē cietušo, aizdomās turēto un apsūdzēto par nodomu izdot kriminālprocesa nodošanas pieprasījumu un par tiesībām sniegt viedokli par to saskaņā ar regulu Nr. 2024/3011.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Cietušā, aizdomās turētā un apsūdzētā lūgumu procesa virzītājam izdot kriminālprocesa nodošanas pieprasījumu izskata pieprasījuma iesniedzēja iestāde šā likuma 23. nodaļā noteiktajā kārtībā."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2027. gada 1. februārī.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26-TA-1836</w:t>
    </w:r>
    <w:r>
      <w:br/>
    </w:r>
    <w:r w:rsidR="00000000" w:rsidRPr="00000000" w:rsidDel="00000000">
      <w:rPr>
        <w:rtl w:val="0"/>
      </w:rPr>
      <w:t xml:space="preserve">Izdrukāts 29.09.2026. 14.44 - 1.0.VK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26-TA-1836</w:t>
    </w:r>
    <w:r>
      <w:br/>
    </w:r>
    <w:r w:rsidR="00000000" w:rsidRPr="00000000" w:rsidDel="00000000">
      <w:rPr>
        <w:rtl w:val="0"/>
      </w:rPr>
      <w:t xml:space="preserve">Izdrukāts 29.09.2026. 14.44 - 1.0.VK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