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septembrī (prot. Nr. 37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valsts budžetu 2024. gadam un budžeta ietvaru 2024., 2025. un 2026. gadam" 67. pantu</w:t>
      </w:r>
      <w:r w:rsidR="00000000" w:rsidRPr="00000000" w:rsidDel="00000000">
        <w:rPr>
          <w:rtl w:val="0"/>
        </w:rPr>
        <w:t xml:space="preserve">, atbalstīt apropriācijas pārdali 2024. gadā 50 000 000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15.00.00 "Finansējums energoapgādes izmaksu atbalsta pasākumu īstenošanai" uz Ekonomikas ministrijas budžeta apakšprogrammu 29.02.00 "Elektroenerģijas lietotāju atbalsts", lai nodrošinātu elektroenerģijas sadales sistēmas operatora negūto ieņēmumu segšanu par mājsaimniecības lietotājiem piemēroto valsts atbalstu elektroenerģijas sistēmas pakalpojumu izmaksu daļējai kompensēšanai.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sadarbībā ar Ekonomikas ministriju normatīvajos aktos noteiktajā kārtībā sagatavot un iesniegt Finanšu ministrijā pieprasījumu par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24-TA-2081</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24-TA-2081</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rīkojuma_projekts_24-TA-2081.docx</dc:title>
</cp:coreProperties>
</file>

<file path=docProps/custom.xml><?xml version="1.0" encoding="utf-8"?>
<Properties xmlns="http://schemas.openxmlformats.org/officeDocument/2006/custom-properties" xmlns:vt="http://schemas.openxmlformats.org/officeDocument/2006/docPropsVTypes"/>
</file>