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135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27. februārī (prot. Nr. 9 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2023. gada 24. oktobra noteikumos Nr. 613 "Valsts un Eiropas Savienības atbalsta piešķiršanas kārtība Eiropas Lauksaimniecības fonda lauku attīstībai intervencē "Atbalsts Eiropas Inovāciju partnerības darba grupu projektu īstenošanai" atklātu projektu iesniegumu konkursu veidā 2023.–2027. gada plānošanas periodam"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24. oktobra noteikumos Nr. 613 "Valsts un Eiropas Savienības atbalsta piešķiršanas kārtība Eiropas Lauksaimniecības fonda lauku attīstībai intervencē "Atbalsts Eiropas Inovāciju partnerības darba grupu projektu īstenošanai" atklātu projektu iesniegumu konkursu veidā 2023.–2027. gada plānošanas periodam" (Latvijas Vēstnesis, 2023, 211.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24-TA-367</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24-TA-367</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noteikumu_(grozījumu)_projekts_24-TA-367.docx</dc:title>
</cp:coreProperties>
</file>

<file path=docProps/custom.xml><?xml version="1.0" encoding="utf-8"?>
<Properties xmlns="http://schemas.openxmlformats.org/officeDocument/2006/custom-properties" xmlns:vt="http://schemas.openxmlformats.org/officeDocument/2006/docPropsVTypes"/>
</file>