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27.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24. oktobra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613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Projektu atlases kritēriji atbalsta piešķiršanai intervencē "Atbalsts darba grupu projektu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Darba grupas partneru sastāvs</w:t>
      </w:r>
      <w:r w:rsidR="00000000" w:rsidRPr="00000000" w:rsidDel="00000000">
        <w:rP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4155"/>
        <w:gridCol w:w="1664"/>
        <w:gridCol w:w="2814"/>
        <w:tblGridChange w:id="0">
          <w:tblGrid>
            <w:gridCol w:w="706"/>
            <w:gridCol w:w="4155"/>
            <w:gridCol w:w="1664"/>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seši dažādi partneri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līdz pieci dažādi partneri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grupā ir konsultants vai pētniecības organizācija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grupā ir vismaz viena attiecīgā biedrība, nodibinājums vai kooperatīvs, kas saistīts ar projekta 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5880"/>
        <w:tblGridChange w:id="0">
          <w:tblGrid>
            <w:gridCol w:w="58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Projektu atlases kritēriju punktus piešķir, ja sadarbības partneris projektā īsteno darbības ar vismaz 7 % lielu finansējumu no projekta kopējām attiecināmajām izmaksām vai attiecīgā apmērā iegulda savus resursus (izņemot pētniecības organizācijas, konsultantus, biedrības, nodibinājumus un kooperatīvus).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Darbības kapacitāte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3964"/>
        <w:gridCol w:w="1568"/>
        <w:gridCol w:w="2814"/>
        <w:tblGridChange w:id="0">
          <w:tblGrid>
            <w:gridCol w:w="993"/>
            <w:gridCol w:w="3964"/>
            <w:gridCol w:w="1568"/>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Partneriem ir pieredze sadarbības projekta īstenošanā vietējā vai starptautiskā mērogā</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vadošajam partnerim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partnerim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nevienam no darba grupas partneriem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grupā iesaistītajiem partneriem ir atbilstošs apgrozījums projekta īstenošanas nozarē</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partneru vidējais apgrozījums projekta īstenošanas nozarē pēdējo triju gadu laikā ir vairāk nekā trīs reizes lielāks par projekta kopējām attiecināmajām izmaksām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partneru vidējais apgrozījums projekta īstenošanas nozarē pēdējo triju gadu laikā ir 2–3 reizes lielāks par projekta kopējām attiecināmajām izmaksām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partneru vidējais apgrozījums projekta īstenošanas nozarē pēdējo triju gadu laikā ir vismaz tikpat liels, bet ne vairāk kā divas reizes lielāks par projekta kopējām attiecināmajām izmaksām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partneru vidējais apgrozījums projekta īstenošanas nozarē pēdējo triju gadu laikā ir mazāks par projekta kopējām attiecināmajām izmaksām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partneriem ir pieejami resursi</w:t>
            </w:r>
            <w:r w:rsidR="00000000" w:rsidRPr="00000000" w:rsidDel="00000000">
              <w:rPr>
                <w:vertAlign w:val="superscript"/>
                <w:rtl w:val="0"/>
              </w:rPr>
              <w:t xml:space="preserve">4, 5 </w:t>
            </w:r>
            <w:r w:rsidR="00000000" w:rsidRPr="00000000" w:rsidDel="00000000">
              <w:rPr>
                <w:rtl w:val="0"/>
              </w:rPr>
              <w:t xml:space="preserve">(tehnoloģiskās iespējas, iekārtas) projekta īstenošanai: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ārējo pakalpojumu piesaistes proporcija</w:t>
            </w:r>
            <w:r w:rsidR="00000000" w:rsidRPr="00000000" w:rsidDel="00000000">
              <w:rPr>
                <w:vertAlign w:val="superscript"/>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tehnoloģisko iespēju piesaistes proporcija</w:t>
            </w:r>
            <w:r w:rsidR="00000000" w:rsidRPr="00000000" w:rsidDel="00000000">
              <w:rPr>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Vērtē, ja partneris ir piedalījies Latvijas lauku attīstības programmas 2014.–2020. gadam 16. pasākumā "Sadarbība", 1.2.1.1. pasākumā "Atbalsts jaunu produktu un tehnoloģiju izstrādei kompetences centru ietvaros" un Eiropas Savienības pētniecības un inovāciju pamatprogrammas "Apvārsnis Eiropa" pasākumos.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Aprēķinot partneru vidējo apgrozījumu, neņem vērā pētniecības organizācijas, konsultantus, biedrības, nodibinājumus un kooperatīvus.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Piemēram, ja partneru vidējais neto apgrozījums pēdējos trijos noslēgtajos gados ir 2 592 341,00 </w:t>
      </w:r>
      <w:r w:rsidR="00000000" w:rsidRPr="00000000" w:rsidDel="00000000">
        <w:rPr>
          <w:i w:val="1"/>
          <w:rtl w:val="0"/>
        </w:rPr>
        <w:t xml:space="preserve">euro</w:t>
      </w:r>
      <w:r w:rsidR="00000000" w:rsidRPr="00000000" w:rsidDel="00000000">
        <w:rPr>
          <w:rtl w:val="0"/>
        </w:rPr>
        <w:t xml:space="preserve">, tad 2 592 341,00 : 3 gadi = 864 113,67 </w:t>
      </w:r>
      <w:r w:rsidR="00000000" w:rsidRPr="00000000" w:rsidDel="00000000">
        <w:rPr>
          <w:i w:val="1"/>
          <w:rtl w:val="0"/>
        </w:rPr>
        <w:t xml:space="preserve"> euro</w:t>
      </w:r>
      <w:r w:rsidR="00000000" w:rsidRPr="00000000" w:rsidDel="00000000">
        <w:rPr>
          <w:rtl w:val="0"/>
        </w:rPr>
        <w:t xml:space="preserve">/gadā. Tā kā tas ir vairāk nekā trīs reizes lielāks par projekta kopējām attiecināmajām izmaksām (270 000,00 </w:t>
      </w:r>
      <w:r w:rsidR="00000000" w:rsidRPr="00000000" w:rsidDel="00000000">
        <w:rPr>
          <w:i w:val="1"/>
          <w:rtl w:val="0"/>
        </w:rPr>
        <w:t xml:space="preserve">euro</w:t>
      </w:r>
      <w:r w:rsidR="00000000" w:rsidRPr="00000000" w:rsidDel="00000000">
        <w:rPr>
          <w:rtl w:val="0"/>
        </w:rPr>
        <w:t xml:space="preserve">), tiek piešķirti pieci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Projektā ārējo pakalpojumu izmaksas veido ne vairāk kā 25 % no attiecināmo izmaksu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Projektā tehnikas, iekārtu un to aprīkojuma iegādes izmaksas veido ne vairāk kā 30 % no attiecināmo izmaksu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Punktus 2.3.1. apakšpunktā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(25 – (B/C) x 100) / 5,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ārējo pakalpojumu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ārējo pakalpojumu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kopējie attiecināmie izdevumi projektā.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Punktus 2.3.2. apakšpunktā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(30 – (B/C) x 100) / 6,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tehnoloģiskās iespējas (iekārtas)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tehnoloģisko iespēju (iekārtas) piesaistes proporcijas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kopējie attiecināmie izdevumi projektā.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Projekta atbilstība prioritārajai jomai (atbilstoši Lauksaimniecības, zivsaimniecības, pārtikas un meža nozares zināšanu un inovāciju stratēģiskās vadības padomē saskaņotajām prioritārajām jomām)</w:t>
      </w:r>
      <w:r w:rsidR="00000000" w:rsidRPr="00000000" w:rsidDel="00000000">
        <w:rPr>
          <w:vertAlign w:val="superscript"/>
          <w:rtl w:val="0"/>
        </w:rPr>
        <w:t xml:space="preserve">8</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568"/>
        <w:gridCol w:w="2239"/>
        <w:tblGridChange w:id="0">
          <w:tblGrid>
            <w:gridCol w:w="802"/>
            <w:gridCol w:w="4730"/>
            <w:gridCol w:w="1568"/>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prioritārā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prioritārā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prioritārā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Ceturtā prioritārā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Piektā prioritārā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Sestā prioritārā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atbilst regulas 2021/2115 6. panta 1. un 2. punktam, bet neiekļaujas noteiktajās prioritārajās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5880"/>
        <w:tblGridChange w:id="0">
          <w:tblGrid>
            <w:gridCol w:w="58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Punktus piešķir, pamatojoties uz darba grupas iesniegtā projekta iesnieguma pašvērtējumu, un punktu skaits var mainīties, ņemot vērā eksperta vērtējumu.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Projekta ietekme uz ražošanas ciklu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239"/>
        <w:tblGridChange w:id="0">
          <w:tblGrid>
            <w:gridCol w:w="802"/>
            <w:gridCol w:w="4730"/>
            <w:gridCol w:w="1664"/>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aptver pilnu ražošanas cikla attīstību (ietverot primāro ražošanu un pārstrādi)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aptver atsevišķa ražošanas cikla posma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Projekta ekonomiskā ietekme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634"/>
        <w:gridCol w:w="1664"/>
        <w:gridCol w:w="2239"/>
        <w:tblGridChange w:id="0">
          <w:tblGrid>
            <w:gridCol w:w="802"/>
            <w:gridCol w:w="4634"/>
            <w:gridCol w:w="1664"/>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paredzamajam rezultātam ir ekonomiska ietekme uz projekta dalībnieku vai nozari – projekta rezultātā var tikt radīts produkts (prece, pakalpojums, tehnoloģija), kas pēc projekta īstenošanas tiek ieviests praksē vai ražošanā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nav tieši vērsts uz ekonomisku projekta rezultātu, kas veicinātu konkurētspēju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Projekta attiecināmo izmaksu summa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4347"/>
        <w:gridCol w:w="1952"/>
        <w:gridCol w:w="2143"/>
        <w:tblGridChange w:id="0">
          <w:tblGrid>
            <w:gridCol w:w="898"/>
            <w:gridCol w:w="4347"/>
            <w:gridCol w:w="1952"/>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50 001–100 000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100 001–200 000 </w:t>
            </w:r>
            <w:r w:rsidR="00000000" w:rsidRPr="00000000" w:rsidDel="00000000">
              <w:rPr>
                <w:i w:val="1"/>
                <w:rtl w:val="0"/>
              </w:rPr>
              <w:t xml:space="preserve"> 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200 001–300 000 </w:t>
            </w:r>
            <w:r w:rsidR="00000000" w:rsidRPr="00000000" w:rsidDel="00000000">
              <w:rPr>
                <w:i w:val="1"/>
                <w:rtl w:val="0"/>
              </w:rPr>
              <w:t xml:space="preserve"> 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Pieprasītā finansējuma intensitāte</w:t>
      </w:r>
      <w:r w:rsidR="00000000" w:rsidRPr="00000000" w:rsidDel="00000000">
        <w:rPr>
          <w:vertAlign w:val="superscript"/>
          <w:rtl w:val="0"/>
        </w:rPr>
        <w:t xml:space="preserve">9</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4443"/>
        <w:gridCol w:w="2047"/>
        <w:gridCol w:w="2047"/>
        <w:tblGridChange w:id="0">
          <w:tblGrid>
            <w:gridCol w:w="898"/>
            <w:gridCol w:w="4443"/>
            <w:gridCol w:w="2047"/>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Intensitātes samazinājums par 1–20 procentpunktiem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Par katru samazināto procentpunktu tiek piešķirts viens punkts, un maksimālais iespējamais punktu skaits ir 20. Intensitātes samazinājums ir piemērojams visam projektam – visām tāmes pozīcijām neatkarīgi no intensitātes lieluma, tostarp produktīvajām investīcijām, ja tādas ir paredzētas.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Projekta gatavība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922"/>
        <w:gridCol w:w="1760"/>
        <w:gridCol w:w="2143"/>
        <w:tblGridChange w:id="0">
          <w:tblGrid>
            <w:gridCol w:w="514"/>
            <w:gridCol w:w="4922"/>
            <w:gridCol w:w="1760"/>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skaidri un saprotami ir aprakstītas darbības, sasniedzamie mērķi, plānošanas un personāla mēneša sadalījums, projekta ilgums, darba plāns (Ganta diagramma)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daļēji aprakstītas darbības, sasniedzamie mērķi, plānošanas un personāla mēneša sadalījums, projekta ilgums, darba plāns (Ganta diagramma)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vāji aprakstītas (vai vispār nav aprakstītas) darbības, sasniedzamie mērķi, plānošanas un personāla mēneša sadalījums, projekta ilgums, darba plāns (Ganta diagramma)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Rezultātu izplatīšana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4826"/>
        <w:gridCol w:w="1760"/>
        <w:gridCol w:w="2143"/>
        <w:tblGridChange w:id="0">
          <w:tblGrid>
            <w:gridCol w:w="610"/>
            <w:gridCol w:w="4826"/>
            <w:gridCol w:w="1760"/>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Plaša sabiedrības un galalietotāja informēšana par projekta rezultātiem, semināru un paraugdemonstrējumu organizēšana, informējot arī Eiropas Inovāciju partnerības tīkla Sekretariātu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rezultātu izplatīšana jau esošos informācijas izplatīšanas kanālos, kurus lauksaimnieki (mežsaimnieki) parasti izmanto (piemēram, nozares tīmekļvietnēs), informējot arī Eiropas Inovāciju partnerības tīkla Sekretariātu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projekta rezultātiem informē tikai Eiropas Inovāciju partnerības tīkla Sekretariātu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9521"/>
        <w:tblGridChange w:id="0">
          <w:tblGrid>
            <w:gridCol w:w="9521"/>
          </w:tblGrid>
        </w:tblGridChange>
      </w:tblGrid>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13"/>
        <w:gridCol w:w="2047"/>
        <w:tblGridChange w:id="0">
          <w:tblGrid>
            <w:gridCol w:w="7413"/>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Kopā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24-TA-367</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24-TA-367</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noteikumu_(grozījumu)_projekts_p_24-TA-367.docx</dc:title>
</cp:coreProperties>
</file>

<file path=docProps/custom.xml><?xml version="1.0" encoding="utf-8"?>
<Properties xmlns="http://schemas.openxmlformats.org/officeDocument/2006/custom-properties" xmlns:vt="http://schemas.openxmlformats.org/officeDocument/2006/docPropsVTypes"/>
</file>