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549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9. jūlijā (prot. Nr. 28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civilā eksperta dalības laika pagarināšanu Eiropas Savienības Padomdevēja misijā civilā drošības sektora reformām Ukrainā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Starptautiskās palīdzības likuma 12. panta otro daļu</w:t>
      </w:r>
      <w:r w:rsidR="00000000" w:rsidRPr="00000000" w:rsidDel="00000000">
        <w:rPr>
          <w:rtl w:val="0"/>
        </w:rPr>
        <w:t xml:space="preserve">, atbalstīt dalības laika pagarināšanu Eiropas Savienības Padomdevēja misijā civilā drošības sektora reformām Ukrainā (turpmāk – starptautiskā misija) šādam civilajam ekspertam (turpmāk – civilais eksperts):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Arsenijs Mihejevs;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(IP) </w:t>
      </w:r>
      <w:r w:rsidR="00000000" w:rsidRPr="00000000" w:rsidDel="00000000">
        <w:rPr>
          <w:i w:val="1"/>
          <w:rtl w:val="0"/>
        </w:rPr>
        <w:t xml:space="preserve">Ierobežotas pieejamības informācija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Ministru kabineta 2020. gada 22. septembra noteikumu Nr. 598 "Kārtība, kādā civilo ekspertu nosūta dalībai starptautiskajā misijā vai operācijā" (turpmāk – noteikumi) 11. punktu</w:t>
      </w:r>
      <w:r w:rsidR="00000000" w:rsidRPr="00000000" w:rsidDel="00000000">
        <w:rPr>
          <w:rtl w:val="0"/>
        </w:rPr>
        <w:t xml:space="preserve"> pagarināt civilā eksperta dalības laiku starptautiskajā misijā no 2024. gada 1. septembra līdz 2025. gada 31. augustam.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 noteikumu 7.4. apakšpunktu, noteikt civilajam ekspertam koeficientu 1,8 piemaksas aprēķināšanai par dalību starptautiskajā 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Paredzēt, ka saskaņā ar noteikumu 17. un 18. punktu civilajam ekspertam tiek izmaksāts atalgojums – 2024. gadā 2800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2025. gadā 5600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un piemaksa – 2024. gadā 13 916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2025. gadā 27 832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 Ārlietu ministrijai veikt valsts sociālās apdrošināšanas iemaksas – 2024. gadā 3944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un 2025. gadā 7887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Ņemot vērā starptautiskās misijas finansēšanas noteikumus, paredzēt, ka saskaņā ar noteikumu 19.2., 19.3., 19.4. un 19.7. apakšpunktu civilajam ekspertam tiek segti faktiskie izdevumi, nepārsniedzot šajā punktā norādītās summas: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dzīvokļa </w:t>
      </w:r>
      <w:r w:rsidR="00000000" w:rsidRPr="00000000" w:rsidDel="00000000">
        <w:rPr>
          <w:rtl w:val="0"/>
        </w:rPr>
        <w:t xml:space="preserve">(dzīvojamās telpas) īres un citu ar dzīvojamās telpas lietošanu saistīto pakalpojumu izdevumi (nepārsniedzot 15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793,88 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kalendāra gadā) – 2024.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gadā 5</w:t>
      </w:r>
      <w:r w:rsidR="00000000" w:rsidRPr="00000000" w:rsidDel="00000000">
        <w:rPr>
          <w:rtl w:val="0"/>
        </w:rPr>
        <w:t xml:space="preserve">265 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2025.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gadā 10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530 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veselības apdrošināšana, atgriežoties no dienesta vietas, – 2025. gadā 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ceļa izdevumi – 750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(2025. gadā 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atvaļinājuma brauciens un 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pārcelšanās no dienesta vietas);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izdevumi par bagāžas transportēšanu 100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(pārceļoties no dienesta vietas 2025. gadā).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25 570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šā rīkojuma 4. un 5. punktā minēto izdevumu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precizēt un palielināt Ārlietu ministrijas budžeta bāzes izdevumus 2025. gadam apakšprogrammā 03.00.00 "Diplomātisko un konsulāro misiju nodrošinājums" 52 704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civilā eksperta darbības nodrošināšanai no 2025. gada 1. janvāra.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Aizsardzības ministrijai uz civilā eksperta dalības laiku starptautiskajā misijā nodrošināt viņam nepieciešamo ekipējumu – ķiveri, bruņuvesti un gāzmasku.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24-TA-1326</w:t>
    </w:r>
    <w:r>
      <w:br/>
    </w:r>
    <w:r w:rsidR="00000000" w:rsidRPr="00000000" w:rsidDel="00000000">
      <w:rPr>
        <w:rtl w:val="0"/>
      </w:rPr>
      <w:t xml:space="preserve">Izdrukāts 29.07.2026. 21.22 - 1.0.VK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24-TA-1326</w:t>
    </w:r>
    <w:r>
      <w:br/>
    </w:r>
    <w:r w:rsidR="00000000" w:rsidRPr="00000000" w:rsidDel="00000000">
      <w:rPr>
        <w:rtl w:val="0"/>
      </w:rPr>
      <w:t xml:space="preserve">Izdrukāts 29.07.2026. 21.22 - 1.0.VK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