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Transportlīdzekļu caurlaižu uzskaites žurnāls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802"/>
        <w:gridCol w:w="1281"/>
        <w:gridCol w:w="1281"/>
        <w:gridCol w:w="1185"/>
        <w:gridCol w:w="1089"/>
        <w:gridCol w:w="1089"/>
        <w:gridCol w:w="802"/>
        <w:gridCol w:w="1089"/>
        <w:tblGridChange w:id="0">
          <w:tblGrid>
            <w:gridCol w:w="419"/>
            <w:gridCol w:w="802"/>
            <w:gridCol w:w="1281"/>
            <w:gridCol w:w="1281"/>
            <w:gridCol w:w="1185"/>
            <w:gridCol w:w="1089"/>
            <w:gridCol w:w="1089"/>
            <w:gridCol w:w="802"/>
            <w:gridCol w:w="108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sz w:val="20"/>
                <w:rtl w:val="0"/>
              </w:rPr>
              <w:t xml:space="preserve">Nr.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Caurlaides 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Persona, kurai izsniegta  								caurlaide, – vārds, uzvārds, personas kods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Transportlīdzekļa valsts  								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Izsniegšanas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Amatpersona, kas izsniegusi  								caurlaidi, – uzvārds un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Personas paraksts par  								caurlaides saņemšanu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Datums, kad caurlaide anulēta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