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4.2.1.2. pasākuma "Veicināt energoefektivitātes paaugstināšanu valsts ēkās" otrās projektu iesniegumu atlases kārtas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05.04.2022. noteikumu Nr. 222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4.2.1. specifiskā atbalsta mērķa "Veicināt energoefektivitātes paaugstināšanu valsts un dzīvojamās ēkās" 4.2.1.2. pasākuma "Veicināt energoefektivitātes paaugstināšanu valsts ēkās" (turpmāk – pasākums) otro projektu iesniegumu atlases kārtu (turpmāk – atlases 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un vienošanās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mērķis ir veicināt energoefektivitātes paaugstināšanu, viedu energovadību un atjaunojamo energoresursu izmantošanu šo noteikumu </w:t>
      </w:r>
      <w:r w:rsidR="00000000" w:rsidRPr="00000000" w:rsidDel="00000000">
        <w:rPr>
          <w:rtl w:val="0"/>
        </w:rPr>
        <w:t xml:space="preserve">1.</w:t>
      </w:r>
      <w:r w:rsidR="00000000" w:rsidRPr="00000000" w:rsidDel="00000000">
        <w:rPr>
          <w:rtl w:val="0"/>
        </w:rPr>
        <w:t xml:space="preserve"> pielikumā minētā finansējuma saņēmēja īpašumā vai lietošanā esošajās ēkās un inženierbūvēs.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valsts ēku un inženierbūvju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Atlases kārtas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pasākuma un atlases kārtas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4.2.1. specifiskā atbalsta mērķa "Veicināt energoefektivitātes paaugstināšanu valsts un dzīvojamās ēkās" ietvaros sasniedzamais rezultāta rādītājs – vidējais siltumenerģijas patēriņš apkurei ēkās ne vairāk kā 120 kWh/m</w:t>
      </w:r>
      <w:r w:rsidR="00000000" w:rsidRPr="00000000" w:rsidDel="00000000">
        <w:rPr>
          <w:vertAlign w:val="superscript"/>
          <w:rtl w:val="0"/>
        </w:rPr>
        <w:t xml:space="preserve">2</w:t>
      </w:r>
      <w:r w:rsidR="00000000" w:rsidRPr="00000000" w:rsidDel="00000000">
        <w:rPr>
          <w:rtl w:val="0"/>
        </w:rPr>
        <w:t xml:space="preserve"> gadā. Rādītājs atspoguļo vidējo siltumenerģijas patēriņu apkurei ēkās visā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atlases kārtas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enerģijas gada patēriņa samazinājums – vismaz 13 966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uzstādītā atjaunojamos energoresursus izmantojoša siltumenerģijas ražošanas papildjauda – vismaz 0,13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siltumnīcefekta gāzu samazinājums – vismaz 2493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416; MK 05.04.2022. noteikumiem Nr. 222)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Atlases kārtas īstenošanai pieejamais kopējais publiskais finansējums ir 37 598 499 </w:t>
      </w:r>
      <w:r w:rsidR="00000000" w:rsidRPr="00000000" w:rsidDel="00000000">
        <w:rPr>
          <w:i w:val="1"/>
          <w:rtl w:val="0"/>
        </w:rPr>
        <w:t xml:space="preserve">euro</w:t>
      </w:r>
      <w:r w:rsidR="00000000" w:rsidRPr="00000000" w:rsidDel="00000000">
        <w:rPr>
          <w:rtl w:val="0"/>
        </w:rPr>
        <w:t xml:space="preserve">, tajā skaitā Eiropas Reģionālās attīstības fonda finansējums – 31 958 724 </w:t>
      </w:r>
      <w:r w:rsidR="00000000" w:rsidRPr="00000000" w:rsidDel="00000000">
        <w:rPr>
          <w:i w:val="1"/>
          <w:rtl w:val="0"/>
        </w:rPr>
        <w:t xml:space="preserve">euro</w:t>
      </w:r>
      <w:r w:rsidR="00000000" w:rsidRPr="00000000" w:rsidDel="00000000">
        <w:rPr>
          <w:rtl w:val="0"/>
        </w:rPr>
        <w:t xml:space="preserve"> un valsts budžeta finansējums – 5 639 775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finansējuma saņēmēji nodrošina, ka netiek pārsniegts tiem aprēķinātais publiskais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Reģionālās attīstības fonda maksimālā līdzfinansējuma likme ir 85 procenti no projekta kopējām attiecināmajām izmaksām, ja projekta iesniedzējs neveic saimniecisko darbību un atbalsta sniegšana specifiskā atbalsta ietvaros tam nav kvalificējama kā valsts atbalsts komercdarbībai.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Projektam, uz kuru attiecināmi komercdarbības atbalsta kontroles nosacījumi, finansējuma saņēmējs nodrošina ar atbalsta piešķiršanu saistītās dokumentācijas glabāšanu visā projekta dzīves ciklā, bet ne mazāk kā 10 gadus no atbalsta piešķiršanas brīža, bet sadarbības iestāde – ne mazāk kā 10 gadus no pēdējā atbalsta piešķiršanas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sadarbības partnerim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ir norādīts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projekta īstenošanai var piesaistīt sadarbības partneri, kas ir valsts kapitālsabiedrība, kura saskaņā ar normatīvajos aktos noteikto deleģējumu lieto, pārvalda un apsaimnieko valsts nekustamos īpašumus, vai tiešās valsts pārvaldes iestādes padotības iestāde, vai –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1.4. apakšpunktā minētajam projekta iesniedzējam – biedrība vai atvasināta publiska persona,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sadarbības partneri pirms projekta iesnieguma iesniegšanas sadarbības iestādē (izņemot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1.4. apakšpunktā minēto projekta iesniedzēju, kurš sadarbības līgumus noslēdz un iesniedz sadarbības iestādē ne vēlāk kā līdz 2024. gada 30. jūnijam), sadarbības līgumā iekļaujot informāciju atbilstoši normatīvajiem aktiem par kārtību, kādā Eiropas Savienības struktūrfondu un Kohēzijas fonda vadībā iesaistītās institūcijas nodrošina plānošanas dokumentu sagatavošanu un šo fondu ieviešanu 2014.–2020. gada plānošanas periodā, kā arī paredzot vismaz šādus nosacījumus sadarbības partnerim: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projekta ieviešanā tiek piesaistīti darbinieki, kuriem ir pieredze energoefektivitātes paaugstināšanas projektu plānošanā, sagatavošanā, ieviešanā vai uzraudzībā, lai veiktu šo noteikumu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minētās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deleģēto uzdevumu veikšanai izmantot sadarbības partnera rīcībā esošo kustamo un nekustamo mantu un infrastruktūru;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ar projekta īstenošanu saistītās tiesības un pienākumi netiks nodoti tālāk citai personai, tai skaitā noslēdzot pakalpojuma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iesnieguma iesniegšanas dienā nav noslēgts sadarbības līgums, projekta iesniegumam pievieno projekta iesniedzēja un sadarbības partnera nodomu protokolu (šī prasība neattiecas uz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1.4. apakšpunktā minēto projekta iesniedzēju). Nodomu protokolā ietver vismaz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sadarbības partnera apņemšanās sadarboties projekta ietvaros, tai skaitā noslēgt sadarbības līgumu, ja projekts tiks apstiprināts;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un sadarbības partnera veicamie pienākumi projekta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var īstenot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aktivitāšu noteikšana un laika grafika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atbilstoši šo noteikumu un vienošanās vai līguma par projekta īstenošanu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glabāšana projekta īstenošanas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informācijas un publicitātes pasākumu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iesniegumu iesniedz par ēku, inženierbūvi vai kopēju ēku vai inženierbūvju grupu, kas ir projekta iesniedzēja īpašumā vai arī uz normatīvā akta, līguma vai iestādes lēmuma pamata nodota projekta iesniedzējam lietošanā vai valdījumā.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katru ēku, inženierbūvi vai kopēju ēku vai inženierbūvju grupu, kas atrodas vienā adresē, vai ēku vai inženierbūvju grupu, kas atrodas dažādās adresēs, ja tās ir funkcionāli saistītas, projekta iesniedzējs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iesniedzēji saņem apliecinājumu no ministrijas vai attiecīgās kapitālsabiedrības kapitāla daļu turētāja par atļauju īstenot projektu. Apliecinājumā ir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un neattiecināmās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saskaņojums, ka neattiecināmās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un neattiecināmo izmaksu segšanas avoti;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vai kapitālsabiedrības kapitāla daļu turētāja saskaņojums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minēto izmaksu ierobežojumu pārsniegšanai, ievērojot šo noteikumu 10. punktā minēto vai to, ka papildus piesaistītais publiskais finansējums tiks nodrošināts no šo noteikumu 1. pielikumā minētā finansējuma saņēmēja rīcībā esošajiem līdzekļiem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sadarbības iestādē iesniedz apliecinājumu, kurā norādīta informācija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Atlases kārtas ietvaros projekta iesniegumu nevar iesniegt par ēkām, kas var pretendēt uz atbalstu saskaņā ar Ministru kabineta 2016. gada 9. augusta noteikumiem Nr. 534 "Darbības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28.08.2018. noteikumiem Nr. 552)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vai inženierbūves energoefektivitātes paaugstināšana: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ēku norobežojošajās konstrukcijās un inženierbūvju konstrukcijās, tostarp to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un inženierbūvju inženiertehnisko sistēmu atjaunošana, pārbūve vai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atjaunojamo energoresursu tehnoloģiju iegāde un uzstādīšana siltumenerģijas un elektroenerģijas ražošanai un aukstuma apgādei;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aukstuma apgādes sistēmas atjaunošana, pārbūve vai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ēku un inženierbūvju automatizētās vadības un kontroles sistēmu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 iekštelpās un uz norobežojošajām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būvdarbi ēkā (ja, īstenojot energoefektivitātes paaugstināšanas pasākumus, tiek skarta ēkas iekšējā un ārējā apdare), lai nodrošinātu ēkas fasādes arhitektonisko un iekštelpu apdares detaļu vizuālo un tehnisko stāvokli un ēkas integrāciju pilsētvidē;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Atlases kārtas ietvaros projekta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būvniecības izmaksu tāmes, būvprojekta, būvdarbu ieceres dokumentācijas, būvprojekta minimālā sastāvā, ēkas fasādes apliecinājuma kartes un inženierbūvju apliecinājuma kartes izstrādāšanu,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tiešās attiecināmās izmaksas ir pieci miljoni </w:t>
      </w:r>
      <w:r w:rsidR="00000000" w:rsidRPr="00000000" w:rsidDel="00000000">
        <w:rPr>
          <w:i w:val="1"/>
          <w:rtl w:val="0"/>
        </w:rPr>
        <w:t xml:space="preserve">euro</w:t>
      </w:r>
      <w:r w:rsidR="00000000" w:rsidRPr="00000000" w:rsidDel="00000000">
        <w:rPr>
          <w:rtl w:val="0"/>
        </w:rPr>
        <w:t xml:space="preserve"> vai lielākas;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tiešajām attiecināmajām izmaksām, bet neieskaitot tiešās projekta vadības personāla izmaksas, ja tiešās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daļlaika attiecināmības principu (attiecināms, ja izmaksas radušās uz darba līguma vai rīkojuma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norobežojošo konstrukciju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inženierbūves inženiertehnisko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inženierbūves un ēkas nodošanu ekspluatācijā;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veikšana ēkā un inženierbūvē, nodrošinot īstenoto energoefektivitātes paaugstināšanas pasākumu ilgtspēju;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lai nodrošinātu ēkas fasādes arhitektonisko un iekštelpu apdares detaļu vizuālo un tehnisko stāvokli un ēkas integrāciju pilsētvidē;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apgaismojuma un elektroapgādes sistēmas izbūves, pārbūves vai atjaunošanas izmaksas un kompresoru, sūkņu, elektrodzinēju nomaiņas izmaksas, ja tās ir saistītas ar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atjaunojamos energoresursus izmantojošu siltumenerģijas un elektroenerģijas ražošanas avotu un aukstuma apgādes avotu iegāde un uzstādīšana. Elektroenerģijas ražošanas avotu iegāde un uzstādīšana nav pieļaujama šo noteikumu </w:t>
      </w:r>
      <w:r w:rsidR="00000000" w:rsidRPr="00000000" w:rsidDel="00000000">
        <w:rPr>
          <w:rtl w:val="0"/>
        </w:rPr>
        <w:t xml:space="preserve">VII</w:t>
      </w:r>
      <w:r w:rsidR="00000000" w:rsidRPr="00000000" w:rsidDel="00000000">
        <w:rPr>
          <w:rtl w:val="0"/>
        </w:rPr>
        <w:t xml:space="preserve"> un </w:t>
      </w:r>
      <w:r w:rsidR="00000000" w:rsidRPr="00000000" w:rsidDel="00000000">
        <w:rPr>
          <w:rtl w:val="0"/>
        </w:rPr>
        <w:t xml:space="preserve">VIII nodaļā</w:t>
      </w:r>
      <w:r w:rsidR="00000000" w:rsidRPr="00000000" w:rsidDel="00000000">
        <w:rPr>
          <w:rtl w:val="0"/>
        </w:rPr>
        <w:t xml:space="preserve"> un </w:t>
      </w:r>
      <w:r w:rsidR="00000000" w:rsidRPr="00000000" w:rsidDel="00000000">
        <w:rPr>
          <w:rtl w:val="0"/>
        </w:rPr>
        <w:t xml:space="preserve">74.2.</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aukstuma apgādes sistēmas energoefektivitātes paaugstināšana;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fosilos energoresursus izmantojošu siltumenerģiju ražojošu iekārtu demontāžas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un inženierbūvju automatizētās vadības un kontroles sistēmu uzstādīšana, kuras nodrošina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un nepārsniedz 1 % no projekta kopējām attiecināmajām tiešajām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netiešās attiecināmās izmaksas plāno kā vienu izmaksu pozīciju, piemērojot netiešo izmaksu vienoto likmi 15 % apmērā no šo noteikumu </w:t>
      </w:r>
      <w:r w:rsidR="00000000" w:rsidRPr="00000000" w:rsidDel="00000000">
        <w:rPr>
          <w:rtl w:val="0"/>
        </w:rPr>
        <w:t xml:space="preserve">22.3.</w:t>
      </w:r>
      <w:r w:rsidR="00000000" w:rsidRPr="00000000" w:rsidDel="00000000">
        <w:rPr>
          <w:rtl w:val="0"/>
        </w:rPr>
        <w:t xml:space="preserve"> apakšpunktā minētajām izmaksām. Projekta netiešās attiecināmās izmaksas aprēķina tikai tām izmaksām, kas radušās uz darba līguma vai rīkojuma pamata, neiesniedzot sadarbības iestādei izmaksas pamatojošos dokumentus par netiešo attiecināmo izmaksu izlietojumu.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22.6. apakšpunktā minētās izmaksas ir attiecināmas, ja ir veikts augstas efektivitātes sistēmu izmantošanas novērtējums, kas apliecina, ka šādas sistēmas ieviešana ir tehniski un ekonomiski pamatota un samazina enerģijas patērētāju kopējās enerģijas izmaksas. Augstas efektivitātes sistēmu izmantošanas novērtējums ir skaidrojošs apraksts, kas sagatavots saskaņā ar Ēku energoefektivitātes likuma 5. pantu un iekļauts būvprojektā vai ēkas fasādes apliecinājuma kartē saskaņā ar Ministru kabineta 2014. gada 2. septembra noteikumiem Nr. 529 "Ēku būvnoteikumi".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minēto attiecināmo izmaksu kopsumma nepārsniedz 10 % no būvdarbu līguma summas. Ierobežojumu var nepiemērot, ja projekta iesniedzējs pamato, ka šīs prasības piemērošana nav iespējama, un ir saņēmis šo noteikumu </w:t>
      </w:r>
      <w:r w:rsidR="00000000" w:rsidRPr="00000000" w:rsidDel="00000000">
        <w:rPr>
          <w:rtl w:val="0"/>
        </w:rPr>
        <w:t xml:space="preserve">17.4.</w:t>
      </w:r>
      <w:r w:rsidR="00000000" w:rsidRPr="00000000" w:rsidDel="00000000">
        <w:rPr>
          <w:rtl w:val="0"/>
        </w:rPr>
        <w:t xml:space="preserve"> apakšpunktā minēto ministrijas vai kapitālsabiedrības kapitāla daļu turētāja saskaņojumu.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21.7.</w:t>
      </w:r>
      <w:r w:rsidR="00000000" w:rsidRPr="00000000" w:rsidDel="00000000">
        <w:rPr>
          <w:rtl w:val="0"/>
        </w:rPr>
        <w:t xml:space="preserve"> apakšpunktā minētās izmaksas nepārsniedz 30 %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atlases kārtas ietvaros radušās izmaksas ir attiecināmas, ja tās atbilst šajos noteikumos minētajām izmaksu pozīcijām, tās ir radušās ne agrāk par 2016. gada 1. janvāri un ir tieši saistītas ar projekta ietvaros veiktajām darbībām, ir izmērāmas, samērīgas, pamatotas ar izdevumus apliecinošiem dokumentiem, kā arī ir ievēroti saimnieciskuma, lietderības un efektivitātes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atlases kārtas ietvaros var plānot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1. pielikuma 1. punktā minēto publisko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26. un 27. punktā minētos ierobežojumus, ja tās netiek segtas no šo noteikumu 1. pielikumā norādītā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23. punktā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pirms šo noteikumu 28. punktā minētā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47.1.</w:t>
      </w:r>
      <w:r w:rsidR="00000000" w:rsidRPr="00000000" w:rsidDel="00000000">
        <w:rPr>
          <w:rtl w:val="0"/>
        </w:rPr>
        <w:t xml:space="preserve"> apakšpunktā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noteiktas šo noteikumu </w:t>
      </w:r>
      <w:r w:rsidR="00000000" w:rsidRPr="00000000" w:rsidDel="00000000">
        <w:rPr>
          <w:rtl w:val="0"/>
        </w:rPr>
        <w:t xml:space="preserve">22.</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projektā tiek plānotas vai projekta īstenošanas laikā rodas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noteiktās izmaksas sedz no finansējuma saņēmēja rīcībā esošajiem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29.5. apakšpunktā noteiktās izmaksas sedz no līdzekļiem, kas nav saistīti ne ar kādu valsts atbalstu, tajā skaitā no tādiem līdzekļiem, kas iegūti, piemēram, saimnieciskās darbības rezultātā un nav uzskatāmi par publiskajiem 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rodas neattiecināmās izmaksas vai sadārdzinās projekta plānotās attiecināmās izmaksas un tādēļ projekta izmaksas pārsniedz šo noteikumu </w:t>
      </w:r>
      <w:r w:rsidR="00000000" w:rsidRPr="00000000" w:rsidDel="00000000">
        <w:rPr>
          <w:rtl w:val="0"/>
        </w:rPr>
        <w:t xml:space="preserve">1.</w:t>
      </w:r>
      <w:r w:rsidR="00000000" w:rsidRPr="00000000" w:rsidDel="00000000">
        <w:rPr>
          <w:rtl w:val="0"/>
        </w:rPr>
        <w:t xml:space="preserve"> pielikuma 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minētajam finansējuma saņēmējam pieejamā finansējuma maksimālo apmēru, šo noteikumu </w:t>
      </w:r>
      <w:r w:rsidR="00000000" w:rsidRPr="00000000" w:rsidDel="00000000">
        <w:rPr>
          <w:rtl w:val="0"/>
        </w:rPr>
        <w:t xml:space="preserve">1.</w:t>
      </w:r>
      <w:r w:rsidR="00000000" w:rsidRPr="00000000" w:rsidDel="00000000">
        <w:rPr>
          <w:rtl w:val="0"/>
        </w:rPr>
        <w:t xml:space="preserve"> pielikuma 1., 2., 3., 4. vai 7. punktā minētais finansējuma saņēmējs papildu izmaksas sedz no paša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22. punktā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plānotā siltumenerģijas un elektroenerģijas ietaupījuma kopsumma pēc projekta īstenošanas nav mazāka par 30 % gadā no šo noteikumu </w:t>
      </w:r>
      <w:r w:rsidR="00000000" w:rsidRPr="00000000" w:rsidDel="00000000">
        <w:rPr>
          <w:rtl w:val="0"/>
        </w:rPr>
        <w:t xml:space="preserve">2.</w:t>
      </w:r>
      <w:r w:rsidR="00000000" w:rsidRPr="00000000" w:rsidDel="00000000">
        <w:rPr>
          <w:rtl w:val="0"/>
        </w:rPr>
        <w:t xml:space="preserve"> pielikumā aprēķinātā siltumenerģijas un elektroenerģijas patēriņa pirms projekta īstenošanas ēkai vai tās daļai, kurai ir veikta individuāla enerģijas uzskaite. Ietaupījuma aprēķinā var neņemt vērā enerģijas patēriņu karstā ūdens sagatavošanai, dzesēšanai (un gaisa sausināšanai), mehāniskajai ventilācijai (un gaisa mitrināšanai), apgaismojumam, papildu enerģijai un pārējam patēriņam, ja energoefektivitātes pasākumi nav paredzēti attiecīgo inženiertehnisko sistēmu ēkas energoefektivitātes uzlabošanai. Minētie nosacījumi attiecināmi arī uz inženierbūvēm;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siltumenerģijas patēriņš ēkas vai tās daļas apkurei pēc projekta īstenošanas, pamatojoties uz šo noteikumu 2. pielikumā veiktajiem aprēķiniem un projekta tehniskajā dokumentācijā paredzētajiem būvdarbiem, nepārsniedz 110 kWh/m</w:t>
      </w:r>
      <w:r w:rsidR="00000000" w:rsidRPr="00000000" w:rsidDel="00000000">
        <w:rPr>
          <w:vertAlign w:val="superscript"/>
          <w:rtl w:val="0"/>
        </w:rPr>
        <w:t xml:space="preserve">2</w:t>
      </w:r>
      <w:r w:rsidR="00000000" w:rsidRPr="00000000" w:rsidDel="00000000">
        <w:rPr>
          <w:rtl w:val="0"/>
        </w:rPr>
        <w:t xml:space="preserve"> gadā. Ja ēkas vidējais apkurināmo telpu augstums pārsniedz 3,5 metrus, siltumenerģijas patēriņu apkurei (kWh/m</w:t>
      </w:r>
      <w:r w:rsidR="00000000" w:rsidRPr="00000000" w:rsidDel="00000000">
        <w:rPr>
          <w:vertAlign w:val="superscript"/>
          <w:rtl w:val="0"/>
        </w:rPr>
        <w:t xml:space="preserve">2</w:t>
      </w:r>
      <w:r w:rsidR="00000000" w:rsidRPr="00000000" w:rsidDel="00000000">
        <w:rPr>
          <w:rtl w:val="0"/>
        </w:rPr>
        <w:t xml:space="preserve"> gadā) pēc projekta īstenošanas pārrēķina atbilstoši šo noteikumu 2. pielikuma 10. sadaļai.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31.2. apakšpunktā minēto pieļaujamo līmeni atjaunojamai vai pārbūvējamai ēkai nepiemēro, ja šo prasību piemērošana nav tehniski vai funkcionāli iespējama vai ja izmaksu un ieguvumu analīze par attiecīgās ēkas kalpošanas laiku norāda uz zaudējumiem.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kurus saskaņā ar normatīvajiem aktiem ēku energoefektivitātes aprēķina jomā šo noteikumu 2. pielikumā minētajā pārskatā paredzējis neatkarīgs eksperts ēku energoefektivitātes jomā. Minētie nosacījumi attiecināmi arī uz inženierbūvēm.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ietvaros ir atbalstāmi tādi būvdarbi, kas norādīti būvprojektā, ēkas fasādes apliecinājuma kartē un inženierbūvju apliecinājuma kartē.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Atlases kārtas ietvaros nav atļautas atkārtotas investīcijas tajos pašos energoefektivitātes paaugstināšanas pasākumos, kuru īstenošanai pēdējo piecu gadu laikā ir piesaistīts līdzfinansējums no citiem Eiropas Savienības finanšu avotiem, kā arī valsts un pašvaldību budžeta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22.06.2021. noteikumiem Nr. 416)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 tajā skaitā līguma vai vienošanās par projekta īstenošanu vienpusēja uzteikuma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iesniegumā minētās aktivitātes īstenojamas līdz 2023. gada 31. decembrim, izņemot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piešķiršanas diena ir diena, kurā stājas spēkā sadarbības iestādes pieņemtais lēmums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(Eiropas Savienības Oficiālais Vēstnesis, 2013. gada 20. decembris, Nr. L347/320),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datu uzkrāšanu par horizontālā principa "Vienlīdzīgas iespējas" rādītāju "Objektu skaits, kuros ERAF ieguldījumu rezultātā ir nodrošināta vides un informācijas pieejamība"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ceturksnī ievieto savā tīmekļvietnē (ja tāda ir izveidota) aktuālo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ar projekta īstenošanu saistītā finansējuma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apakšpunktā minēto iznākuma rādītāju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gadu periodā ik gadu līdz 31. janvārim iesniedz sadarbības iestādē pārskatu par ēkas vai inženierbūves enerģijas patēriņu pārskata gadā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gadus nodrošina līdzekļus projekta rezultātu uzturēšanai un uztur sasniegtos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projekta dzīves ciklā nodrošina, ka ēkā vai inženierbūvē tiek īstenoti valsts deleģētie pārvaldes uzdevumi vai tiek sniegti sabiedriskie pakalpojumi ar vispārēju tautsaimniecisku nozīmi vai ēkai vai inženierbūvei ir nacionālās sporta bāzes statuss;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pārskata periodu (projekta dzīves ciklu) nosaka atbilstoši Komisijas 2014. gada 3. marta Deleģētajai regulai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finansējuma saņēmējs ir valsts kapitālsabiedrība vai kapitālsabiedrība, kuras kapitāldaļas 100 % apmērā pieder valstij, un ja par ēku, par kuru iesniegts projekta iesniegums, ir noslēgts apsaimniekošanas un lietošanas līgums, kurā noteikts ēkas lietotāja pienākums nodrošināt ēkas uzturēšanu atbilstoši normatīvajiem aktiem būvniecības jomā, projekta iesniegumam pievieno ministrijas vai finansējuma saņēmēja apliecinājumu, ka tas vismaz piecus gadus pēc noslēguma maksājuma veikšanas nodrošinās šo noteikumu 38.2. apakšpunktā, bet visā projekta dzīves ciklā – šo noteikumu 38.3. apakšpunktā minēto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finansējuma saņēmējs ir valsts kapitālsabiedrība vai kapitālsabiedrība, kuras kapitāldaļas 100 % apmērā pieder valstij, un ja par ēku, par kuru iesniegts projekta iesniegums, ir noslēgts nomas līgums, projekta iesniegumam pievieno ministrijas vai finansējuma saņēmēja apliecinājumu, ka tas visā projekta dzīves ciklā pēc noslēguma maksājuma veikšanas nodrošinās šo noteikumu 38.3. apakšpunktā minēto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Iepirkumu, kas nepieciešams projekta īstenošanai, finansējuma saņēmējs veic saskaņā ar normatīvajiem aktiem publisko iepirkumu jomā, ievērojot caurspīdīgu, atklātu, nediskriminējošu un konkurenci nodrošinošu procedūru. Ieteicama ir vides prasību integrācija preču, pakalpojumu un būvdarbu iepirkumos (zaļais publiskais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Avansa un starpposma maksājumu finansējuma saņēmējs, kas nav tiešās valsts pārvaldes iestāde un tās padotības iestāde, var saņemt saskaņā ar normatīvajiem aktiem par kārtību, kādā plāno valsts budžeta līdzekļus Eiropas Savienības struktūrfondu un Kohēzijas fonda projektu īstenošanai un veic maksājumus 2014.–2020. gada plānošanas periodā. Avansa un starpposma maksājumu var saņemt vienā vai vairākos maksājumos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izņemot 7.2. un 7.3. apakšpunktu, minētajiem finansējuma saņēmējiem piešķirtā avansa un starpposma maksājumu kopsumma nepārsniedz 100 %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 pielikuma 5. punktā minētajiem finansējuma saņēmējiem, kuriem sniegtais atbalsts pasākuma ietvaros nav kvalificējams kā valsts atbalsts komercdarbībai, piešķirtā avansa un starpposma maksājumu kopsumma nepārsniedz 90 %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minētajiem finansējuma saņēmējiem, kuriem sniegtais atbalsts pasākuma ietvaros ir kvalificējams kā valsts atbalsts komercdarbībai, piešķirtā avansa un starpposma maksājumu kopsumma nepārsniedz 40 % no projektam piešķirtā Eiropas Reģionālās attīstības fonda finansējuma un, ja tas ir paredzēts projektā, valsts budžeta līdzfinansējuma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Tiešās valsts pārvaldes iestāde un tās padotības iestāde saskaņā ar normatīvo aktu par kārtību, kādā pārdala 74. resora "Gadskārtējā valsts budžeta izpildes procesā pārdalāmais finansējums" 80.00.00 programmā plānotos līdzekļus Eiropas Savienības politiku instrumentu un pārējās ārvalstu finanšu palīdzības līdzfinansēto projektu un pasākumu īstenošanai, var saņemt priekšfinansējumu projektu sagatavošanai un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iestādei ir tiesības vienpusēji atkāpties no noslēgtā līguma vai vienošanās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vai vienošanos par projekta īstenošanu, tai skaitā netiek ievēroti projektā noteiktie termiņi vai ir iestājušies citi apstākļi, kas negatīvi ietekmē vai var ietekmēt specifiskā atbalsta mērķa vai šo noteikumu </w:t>
      </w:r>
      <w:r w:rsidR="00000000" w:rsidRPr="00000000" w:rsidDel="00000000">
        <w:rPr>
          <w:rtl w:val="0"/>
        </w:rPr>
        <w:t xml:space="preserve">8.</w:t>
      </w:r>
      <w:r w:rsidR="00000000" w:rsidRPr="00000000" w:rsidDel="00000000">
        <w:rPr>
          <w:rtl w:val="0"/>
        </w:rPr>
        <w:t xml:space="preserve"> punktā minēto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sadarbības iestādei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vai vienošanās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1. pielikuma 5. punktā minētais finansējuma saņēmējs projekta ietvaros ievēro šādus ieķīlāšanas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nodrošinātu konkrētā projekta īstenošanai nepieciešamo līdzfinansējumu, finansējuma saņēmējam ir tiesības ieķīlāt finansējuma saņēmēja īpašumā esošās: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inženierbūves un zemi, kur plānoti ieguldījumi no projekta līdzekļiem;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inženierbūves, kuras uzbūvētas projekta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45.1.1. apakšpunktā minētās ķīlas vērtība nedrīkst pārsniegt nepieciešamā privātā līdzfinansējuma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ieķīlāšanas finansējuma saņēmējs to saskaņo ar sadarbības iestādi, sniedzot izvērtējumu par ieķīlāšanas pamatotību un iespējamiem riskiem;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projekta īstenošanu komercdarbības jomā, finansējuma saņēmējam ir tiesības projekta pēcuzraudzības periodā ieķīlāt jaunradītās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punktā minētais finansējuma saņēmējs saņem finansējumu cita publiskā finansējuma aizvietošanai darbības programmas "Izaugsme un nodarbinātība" 5.6.1. specifiskā atbalsta mērķa "Veicināt Rīgas pilsētas revitalizāciju, nodrošinot teritorijas efektīvu sociālekonomisko izmantošanu" ietvaros apstiprinātajam projektam "Kultūras un sporta kvartāla izveide Grīziņkalna apkaimē", tas ievēro Eiropas Komisijas lēmumu par valsts atbalsta saderīgumu ar Eiropas Savienības iekšējo tirgu.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minētais finansējuma saņēmējs var palielināt projekta attiecināmās izmaksas pēc projekta iesnieguma iesniegšanas sadarbības iestādē līdz projekta apstiprināšanas nosacījumu izpildei (ja projekts apstiprināts ar nosacījumu) vai pēc līguma vai vienošanās par projekta īstenošanu noslēgšanas ar sadarbības iestādi. Finansējuma saņēmējs sadarbības iestādē iesniedz aktualizētu šo noteikumu </w:t>
      </w:r>
      <w:r w:rsidR="00000000" w:rsidRPr="00000000" w:rsidDel="00000000">
        <w:rPr>
          <w:rtl w:val="0"/>
        </w:rPr>
        <w:t xml:space="preserve">17.</w:t>
      </w:r>
      <w:r w:rsidR="00000000" w:rsidRPr="00000000" w:rsidDel="00000000">
        <w:rPr>
          <w:rtl w:val="0"/>
        </w:rPr>
        <w:t xml:space="preserve"> punktā minēto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sniedzot atbalstu šo noteikumu ietvaros, tiek pārkāpti šo noteikumu </w:t>
      </w:r>
      <w:r w:rsidR="00000000" w:rsidRPr="00000000" w:rsidDel="00000000">
        <w:rPr>
          <w:rtl w:val="0"/>
        </w:rPr>
        <w:t xml:space="preserve">VI nodaļā</w:t>
      </w:r>
      <w:r w:rsidR="00000000" w:rsidRPr="00000000" w:rsidDel="00000000">
        <w:rPr>
          <w:rtl w:val="0"/>
        </w:rPr>
        <w:t xml:space="preserve"> minētie komercdarbības atbalsta piešķiršanas nosacījumi vispārējas tautsaimnieciskas nozīmes pakalpojuma sniegšanai attiecībā uz kompensāciju par sabiedriskajiem pakalpojumiem dažiem uzņēmumiem, kuriem uzticēts sniegt pakalpojumus ar vispārēju tautsaimniecisku nozīmi, finansējuma saņēmējam ir pienākums atmaksāt sadarbības iestādei visu projekta ietvaros saņemto nelikumīgo valsts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konstatēts Komisijas 2014. gada 17. jūnija Regulas (ES) Nr. 651/2014, ar ko noteiktas atbalsta kategorijas atzīst par saderīgām ar iekšējo tirgu, piemērojot Līguma 107. un 108. pantu (Eiropas Savienības Oficiālais Vēstnesis, 2014. gada 26. jūnijs, Nr. L 187) (turpmāk – Komisijas regula Nr. 651/2014), prasību pārkāpums šo noteikumu ietvaros īstenotajā projektā, finansējuma saņēmējam ir pienākums atmaksāt sadarbības iestādei visu projekta ietvaros saņemto nelikumīgo valsts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konstatēts Komisijas 2013. gada 18. decembra Regulas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prasību pārkāpums šo noteikumu ietvaros īstenotajā projektā, finansējuma saņēmējam ir pienākums atmaksāt sadarbības iestādei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tiek konstatēts tā Eiropas Komisijas lēmuma prasību pārkāpums šo noteikumu ietvaros īstenotajā projektā, ar kuru paziņotais valsts atbalsts komercdarbībai viena vienota ieguldījumu projekta ietvaros ir atzīts par saderīgu ar iekšējo tirgu, finansējuma saņēmējam ir pienākums atmaksāt sadarbības iestādei visu projekta ietvaros saņemto nelikumīgo valsts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piešķiršanas nosacījumi sabiedriskā labuma organizācijām un finansējuma saņēmējiem labklājības un izglītības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 un 7. punktā (izņemot 1.3. un 1.4. apakšpunktu) minētajiem finansējuma saņēmējiem piešķir,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iesnieguma iesniegšanas brīdī ir zināms, ka ēkā, ēkas daļā vai ēku grupā tiks veikta saimnieciskā darbība, kas nav uzskatāma par papildinošu saimniecisko darbību, vai tiks veikta papildinoša saimnieciskā darbība, kas pārsniedz šo noteikumu </w:t>
      </w:r>
      <w:r w:rsidR="00000000" w:rsidRPr="00000000" w:rsidDel="00000000">
        <w:rPr>
          <w:rtl w:val="0"/>
        </w:rPr>
        <w:t xml:space="preserve">47.3.</w:t>
      </w:r>
      <w:r w:rsidR="00000000" w:rsidRPr="00000000" w:rsidDel="00000000">
        <w:rPr>
          <w:rtl w:val="0"/>
        </w:rPr>
        <w:t xml:space="preserve"> apakšpunktā minēto apmēru, projekta iesniedzējs apņemas proporcionāli šai ēkas daļai energoefektivitātes paaugstināšanas pasākuma izmaksas segt atbilstoši šo noteikumu </w:t>
      </w:r>
      <w:r w:rsidR="00000000" w:rsidRPr="00000000" w:rsidDel="00000000">
        <w:rPr>
          <w:rtl w:val="0"/>
        </w:rPr>
        <w:t xml:space="preserve">30.2.</w:t>
      </w:r>
      <w:r w:rsidR="00000000" w:rsidRPr="00000000" w:rsidDel="00000000">
        <w:rPr>
          <w:rtl w:val="0"/>
        </w:rPr>
        <w:t xml:space="preserv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47.1.</w:t>
      </w:r>
      <w:r w:rsidR="00000000" w:rsidRPr="00000000" w:rsidDel="00000000">
        <w:rPr>
          <w:rtl w:val="0"/>
        </w:rPr>
        <w:t xml:space="preserve"> apakšpunktā minētā papildinošās saimnieciskās darbības aprēķina veidu nav pieļaujams mainīt projekta īstenošanas laikā, t. i., aprēķins veicams atbilstoši sākotnēji izvēlētajam veidam platības, laika vai finanšu izteiksmē;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 īpašumā, lietošanā vai valdījumā esošajā infrastruktūrā (tai skaitā ēkas daļā platības izteiksmē, kur tiek īstenoti energoefektivitātes paaugstināšanas pasākumi, ēkā vai ēku grupā), kas tiek izmantota tādas funkcijas vai pārvaldes uzdevuma nodrošināšanai, kas nav saistīts ar saimniecisko darbību, pamatlīdzekļu un ilgtermiņa ieguldījumu nolietojuma periodā pieļaujams veikt papildinošu saimniecisko darbību 20 % apmērā no infrastruktūras gada jaudas platības, laika vai finanšu izteiksmē, lai atbalsts pasākuma ietvaros netiktu kvalificēts kā komercdarbības atbalsts. Ar papildinošu saimniecisko darbību saprot darbības, kas ir tieši saistītas ar ēkas vai ēku grupas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ēkā, ēkas daļā vai ēku grupā, kurā veic energoefektivitātes projektu, ir pieļaujams veikt papildpakalpojumus, t. i., izmantot infrastruktūru tādu pakalpojumu nodrošināšanai, kurus galvenokārt izmanto tikai nesaimnieciskajai darbībai un kuriem pašiem par sevi nebūtu ietekmes uz tirdzniecību un konkurenci Eiropas Savienības iekšējā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projekta dzīves ciklā ēkā vai ēku grupā,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47.3.</w:t>
      </w:r>
      <w:r w:rsidR="00000000" w:rsidRPr="00000000" w:rsidDel="00000000">
        <w:rPr>
          <w:rtl w:val="0"/>
        </w:rPr>
        <w:t xml:space="preserve"> apakšpunktā</w:t>
      </w:r>
      <w:r w:rsidR="00000000" w:rsidRPr="00000000" w:rsidDel="00000000">
        <w:rPr>
          <w:rtl w:val="0"/>
        </w:rPr>
        <w:t xml:space="preserve"> minēto apmēru, vai tiek veikta saimnieciskā darbība, kas nav uzskatāma par papildinošu saimniecisko darbību, projekta iesniedzējam proporcionāli šai ēkas vai ēku grupas daļai platības, laika vai finanšu izteiksmē ir pienākums atmaksāt sadarbības iestādei saņemto nelikumīgo komercdarbības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Ar saimniecisku darbību nesaistītā projektā ir pieļaujamas šo noteikumu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minētās izmaksas atjaunojamos energoresursus izmantojošu elektroenerģijas ražošanas avotu iegādei un uzstādīšanai, ja vismaz 80 procenti no gadā saražotās enerģijas tiek izmantoti pašpatēriņam.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visā projekta dzīves ciklā sagatavo ikgadējus pārskatus par papildinošas saimnieciskās darbības apjomu un nodrošina aprēķinus pamatojošo dokumentu pieejamību. Ja finansējuma saņēmējs konstatē, ka ir pārsniegts šo noteikumu </w:t>
      </w:r>
      <w:r w:rsidR="00000000" w:rsidRPr="00000000" w:rsidDel="00000000">
        <w:rPr>
          <w:rtl w:val="0"/>
        </w:rPr>
        <w:t xml:space="preserve">47.3. </w:t>
      </w:r>
      <w:r w:rsidR="00000000" w:rsidRPr="00000000" w:rsidDel="00000000">
        <w:rPr>
          <w:rtl w:val="0"/>
        </w:rPr>
        <w:t xml:space="preserve">apakšpunktā</w:t>
      </w:r>
      <w:r w:rsidR="00000000" w:rsidRPr="00000000" w:rsidDel="00000000">
        <w:rPr>
          <w:rtl w:val="0"/>
        </w:rPr>
        <w:t xml:space="preserve"> minētais 20 % ierobežojums no infrastruktūras gada jaudas platības, laika vai finanšu izteiksmē vai ka veiktās investīcijas tiek izmantotas citai saimnieciskai darbībai, kas nav uzskatāma par papildinošu saimniecisko darbību, tas saskaņā ar līgumu vai vienošanos par projekta īstenošanu noteiktajā termiņā iesniedz sadarbības iestādē ziņojumu par konstatēto šo noteikumu 47.3. apakšpunktā minēto nosacījumu  pārkāpumu. Sadarbības iestādei ir tiesības finansējuma saņēmējam pieprasīt pārskatus par papildinošu saimniecisko darbību visā projekta dzīves cikla laikā, tai skaitā gadījumos, kad no finansējuma saņēmēja, kompetentajām iestādēm vai no trešajām personām saņemta informācija par papildinošas saimnieciskās darbības nosacījumu pārkāpumu.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piešķiršanas nosacījumi veselības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šo noteikumu 1. pielikuma </w:t>
      </w:r>
      <w:r w:rsidR="00000000" w:rsidRPr="00000000" w:rsidDel="00000000">
        <w:rPr>
          <w:rtl w:val="0"/>
        </w:rPr>
        <w:t xml:space="preserve">2.</w:t>
      </w:r>
      <w:r w:rsidR="00000000" w:rsidRPr="00000000" w:rsidDel="00000000">
        <w:rPr>
          <w:rtl w:val="0"/>
        </w:rPr>
        <w:t xml:space="preserve"> punktā minētajiem finansējuma saņēmējiem par valsts apmaksāto veselības aprūpes pakalpojumu sniegšanu piešķir saskaņā ar šīs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aprēķina infrastruktūras izmantošanas proporciju valsts apmaksāto veselības aprūpes pakalpojumu sniegšanai un citu darbību veikšanai un piemēro to projekta kopējam finansējumam, nosakot publiskā un privātā finansējuma apmēru atbilstoši šādam aprēķinam: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Ipubl_kop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∑Ipubl_x</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Ipubl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(Lv_y × Sy)</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(Lv_y + Lm_y)</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infrastruktūras izmantošanas proporciju aprēķina no projekta iesniegšanas brīža līdz projekta dzīves cikla beigām, izmantojot pēdējā gada datus vai divu pēdējo gadu vidējos datus par infrastruktūras izmantošanu. Ja iepriekšējo gadu dati par infrastruktūras izmantošanu nav pieejami vai tie vairāk nekā par pieciem procentiem atšķiras no attīstāmās infrastruktūras izmantošanas prognozes, finansējuma saņēmējs izmanto plānotos infrastruktūras izmantošanas datus līdz brīdim, kad ir pieejami dati par attīstītās infrastruktūras izmantošanu. Infrastruktūras izmantošanas proporcijas aprēķinu aktualizē ne retāk kā reizi divos gados.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infrastruktūras izmantošanas proporcijas aprēķinus apstiprina ar finansējuma saņēmēja rīkojumu, aprēķina rezultātus norāda šo noteikumu </w:t>
      </w:r>
      <w:r w:rsidR="00000000" w:rsidRPr="00000000" w:rsidDel="00000000">
        <w:rPr>
          <w:rtl w:val="0"/>
        </w:rPr>
        <w:t xml:space="preserve">4.</w:t>
      </w:r>
      <w:r w:rsidR="00000000" w:rsidRPr="00000000" w:rsidDel="00000000">
        <w:rPr>
          <w:rtl w:val="0"/>
        </w:rPr>
        <w:t xml:space="preserve"> pielikumā minētajā veidlapā un pievieno vienošanās vai līguma par projekta īstenošanu pielikumā. Apstiprināto rīkojumu finansējuma saņēmējs iesniedz sadarbības iestādē: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projekta noslēguma maksājuma pieprasījumu un pēdējo ikgadējo pēcprojekta pārskatu;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22.06.2021. noteikumiem Nr. 416).</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pēc projekta iesnieguma apstiprināšanas palielinās projekta publisko izmaksu maksimālais apmērs, kas aprēķināts saskaņā ar šo noteikumu 50.2. apakšpunktu, sadarbības iestāde kopējās publiskās projekta attiecināmās izmaksas nepalielina.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tiek konstatēts, ka saskaņā ar šo noteikumu 50.1. apakšpunktu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pārmērīgas kompensācijas apmērs nepārsniedz piecus procentus no projekta kopējām publiskajām izmaksām, finansējuma saņēmējs var neveikt izmaiņas projektā līdz projekta uzraudzības perioda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pārmērīgas kompensācijas apmērs pārsniedz piecus procentus no projekta kopējām publiskajām izmaksām, finansējuma saņēmējs mēneša laikā pēc pārmērīgas kompensācijas konstatēšanas iesniedz grozījumus projektā, nodrošinot, ka pārmērīgas kompensācijas apmērs nepārsniedz piecus procentus;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pēdējo projekta uzraudzības pārskatu iesniedz grozījumus projektā, nodrošinot, ka pārmērīgas kompensācijas nav.</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ietvaros paredzēts attīstīt infrastruktūru, kuru finansējuma saņēmējs iznomā citai ārstniecības iestādei veselības aprūpes pakalpojumu sniegšanai, šo noteikumu </w:t>
      </w:r>
      <w:r w:rsidR="00000000" w:rsidRPr="00000000" w:rsidDel="00000000">
        <w:rPr>
          <w:rtl w:val="0"/>
        </w:rPr>
        <w:t xml:space="preserve">21.</w:t>
      </w:r>
      <w:r w:rsidR="00000000" w:rsidRPr="00000000" w:rsidDel="00000000">
        <w:rPr>
          <w:rtl w:val="0"/>
        </w:rPr>
        <w:t xml:space="preserve"> punktā minētās atbalstāmās darbības ir atbalstāmas finansēšanai no publiskiem līdzekļiem, ievērojot infrastruktūras izmantošanas proporcijas noteikšanas kārtību, ja tiek izpildīti visi šie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pienākums nodrošināt infrastruktūru citai ārstniecības iestādei valsts apmaksāto veselības aprūpes pakalpojumu sniegšanai, un par to ir noslēgts attiecīgs līgums, ievērojot normatīvos aktus par atlīdzības maksājumiem par sabiedrisko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nomas maksa noteikta, ievērojot šādus nosacījumus: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nomas maksas apmērs nepārsniedz saprātīgas peļņas un tādu ārstniecības iestādes izmaksu summu, kuras netiek finansētas no publiskā finansējuma un kuras tieši vai netieši saistītas ar infrastruktūras iznomāšanu;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saprātīga peļņa tiek aprēķināta tikai tām iestādes izmaksām, kas netiek finansētas no publiskā finansējuma;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saprātīgas peļņas aprēķināšanai tiek izmantota saprātīgas peļņas norma, kuru Veselības ministrija kārtējā gada pirmajā darbdienā publicē savā tīmekļvietnē (http://esfondi.vm.gov.lv) un kura tiek noteikta,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norma</w:t>
            </w:r>
            <w:r w:rsidR="00000000" w:rsidRPr="00000000" w:rsidDel="00000000">
              <w:rPr>
                <w:rtl w:val="0"/>
              </w:rPr>
              <w:t xml:space="preserv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N-4</w:t>
            </w:r>
            <w:r w:rsidR="00000000" w:rsidRPr="00000000" w:rsidDel="00000000">
              <w:rPr>
                <w:rtl w:val="0"/>
              </w:rPr>
              <w:t xml:space="preserve">+ P</w:t>
            </w:r>
            <w:r w:rsidR="00000000" w:rsidRPr="00000000" w:rsidDel="00000000">
              <w:rPr>
                <w:vertAlign w:val="subscript"/>
                <w:rtl w:val="0"/>
              </w:rPr>
              <w:t xml:space="preserve">N-3</w:t>
            </w:r>
            <w:r w:rsidR="00000000" w:rsidRPr="00000000" w:rsidDel="00000000">
              <w:rPr>
                <w:rtl w:val="0"/>
              </w:rPr>
              <w:t xml:space="preserve">+ P</w:t>
            </w:r>
            <w:r w:rsidR="00000000" w:rsidRPr="00000000" w:rsidDel="00000000">
              <w:rPr>
                <w:vertAlign w:val="subscript"/>
                <w:rtl w:val="0"/>
              </w:rPr>
              <w:t xml:space="preserve">N-2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N-4</w:t>
            </w:r>
            <w:r w:rsidR="00000000" w:rsidRPr="00000000" w:rsidDel="00000000">
              <w:rPr>
                <w:rtl w:val="0"/>
              </w:rPr>
              <w:t xml:space="preserve">+ A</w:t>
            </w:r>
            <w:r w:rsidR="00000000" w:rsidRPr="00000000" w:rsidDel="00000000">
              <w:rPr>
                <w:vertAlign w:val="subscript"/>
                <w:rtl w:val="0"/>
              </w:rPr>
              <w:t xml:space="preserve">N-3</w:t>
            </w:r>
            <w:r w:rsidR="00000000" w:rsidRPr="00000000" w:rsidDel="00000000">
              <w:rPr>
                <w:rtl w:val="0"/>
              </w:rPr>
              <w:t xml:space="preserve">+A</w:t>
            </w:r>
            <w:r w:rsidR="00000000" w:rsidRPr="00000000" w:rsidDel="00000000">
              <w:rPr>
                <w:vertAlign w:val="subscript"/>
                <w:rtl w:val="0"/>
              </w:rPr>
              <w:t xml:space="preserve">N-2</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norma</w:t>
      </w:r>
      <w:r w:rsidR="00000000" w:rsidRPr="00000000" w:rsidDel="00000000">
        <w:rPr>
          <w:rtl w:val="0"/>
        </w:rPr>
        <w:t xml:space="preserve"> – saprātīgas peļņas norma procentos;</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N-X</w:t>
      </w:r>
      <w:r w:rsidR="00000000" w:rsidRPr="00000000" w:rsidDel="00000000">
        <w:rPr>
          <w:rtl w:val="0"/>
        </w:rPr>
        <w:t xml:space="preserve"> – vidējais peļņas apmērs veselības aizsardzībā atbilstoši Eiropas Savienības Saimniecisko darbību statistiskajai klasifikācijai (turpmāk – NACE 2. red.) laikposmā no N-4 gada līdz N-2 gadam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N-X</w:t>
      </w:r>
      <w:r w:rsidR="00000000" w:rsidRPr="00000000" w:rsidDel="00000000">
        <w:rPr>
          <w:rtl w:val="0"/>
        </w:rPr>
        <w:t xml:space="preserve"> – vidējais apgrozījuma apmērs veselības aizsardzībā atbilstoši NACE 2. red. laikposmā no N-4 gada līdz N-2 gadam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iesniedzot aprēķinu metodiku, pamatoti un pārskatāmi var pierādīt infrastruktūras nomas 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nosaka darba laiku valsts apmaksāto veselības aprūpes pakalpojumu sniegšanai un citu darbību veikšanai projekta ietvaros attīstītajā infrastruktūrā (ja attiecīgo darba laiku var noteikt) un uzskaita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skaidri nodala valsts apmaksāto veselības aprūpes pakalpojumu sniegšanu no citu darbību veikšanas (un ar tām saistītās finanšu plūsmas). Ienākumus, kas gūti projekta ietvaros, sniedzot valsts apmaksātos veselības aprūpes pakalpojumus vai nodrošinot infrastruktūru citai ārstniecības iestādei valsts apmaksāto veselības aprūpes pakalpojumu sniegšanai, izmanto, lai segtu tikai tās izmaksas, kas saistītas ar projekta ietvaros attīstīto infrastruktūru valsts apmaksāto veselības aprūpes pakalpojumu sniegšanai. Ja ienākumi tiek gūti, nodrošinot infrastruktūru citai ārstniecības iestādei, attiecīgajiem ienākumiem jāatbilst šo noteikumu </w:t>
      </w:r>
      <w:r w:rsidR="00000000" w:rsidRPr="00000000" w:rsidDel="00000000">
        <w:rPr>
          <w:rtl w:val="0"/>
        </w:rPr>
        <w:t xml:space="preserve">55.</w:t>
      </w:r>
      <w:r w:rsidR="00000000" w:rsidRPr="00000000" w:rsidDel="00000000">
        <w:rPr>
          <w:rtl w:val="0"/>
        </w:rPr>
        <w:t xml:space="preserve"> punktā minētajām prasībām. Finansējuma saņēmējs nodrošina, ka dokumentācija, kas saistīta ar šajā punktā minēto nosacījumu izpildi un attiecas uz projekta ietvaros attīstīto infrastruktūru, tiek saglabāta un ir pieejama sadarbības iestādei, kas veic šo noteikumu </w:t>
      </w:r>
      <w:r w:rsidR="00000000" w:rsidRPr="00000000" w:rsidDel="00000000">
        <w:rPr>
          <w:rtl w:val="0"/>
        </w:rPr>
        <w:t xml:space="preserve">50.</w:t>
      </w:r>
      <w:r w:rsidR="00000000" w:rsidRPr="00000000" w:rsidDel="00000000">
        <w:rPr>
          <w:rtl w:val="0"/>
        </w:rPr>
        <w:t xml:space="preserve"> punktā minētās infrastruktūras izmantošanas proporcijas aprēķina kontroli.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saņēmējam atbilstoši normatīvajiem aktiem veselības aprūpes organizēšanas un finansēšanas jomā ir noslēgts deleģēšanas līgums ar Nacionālo veselības dienestu par sabiedrisko pakalpojumu sniegšanu. Līgumā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Lēmumu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iesniedz sadarbības iestādei vispārējas tautsaimnieciskas nozīmes pakalpojuma pilnvarojuma uzlicēja apliecinājumu, ka vispārējas tautsaimnieciskas nozīmes pakalpojuma pilnvarojuma uzlicējs veiks šo noteikumu 58.6. apakšpunktā minētās atlīdzības (kompensācijas) maksājumu kontroli un pārskatīšanu, kā arī atlīdzības (kompensācijas) maksājumu pārmaksas novēršanu un atgūšanu.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Atbalstu, kas piešķirts šo noteikumu 49. punktā minētajiem finansējuma saņēmējiem, drīkst kumulēt ar citu valsts atbalstu, kas sniegts saskaņā ar Lēmumu Nr. 2012/21/ES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minētās izmaksas atjaunojamos energoresursus izmantojošu elektroenerģijas ražošanas avotu iegādei un uzstādīšanai ir pieļaujamas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finansējuma saņēmēju projektos, ja visa saražotā enerģija tiks izmantota tikai valsts apmaksāto veselības pakalpojumu sniegšanai, ievērojot, ka pašpatēriņš ietilpst atlīdzības (kompensācijas)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Atbalsta piešķiršanas nosacījumi sporta infrastruktūras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minētajiem finansējuma saņēmējiem, kas kvalificējas kā valsts atbalsts komercdarbībai, piešķir,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šo noteikumu 22.1. apakšpunktā paredzētajām izmaksām, ja tās radušās pēc projekta iesnieguma iesniegšanas sadarbības iestādē, un šo noteikumu 22.2., 22.4., 22.5., 22.6., 22.7., 22.8. un 22.9. apakšpunktā paredzētajām izmaksām sniedz saskaņā ar Komisijas regulas Nr. 651/2014 55.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projekta iesniedzējam piešķir šo noteikumu 22.1. apakšpunktā paredzētajām projekta pamatojošās dokumentācijas sagatavošanas izmaksām, ja tās radušās pirms projekta iesnieguma iesniegšanas sadarbības iestādē, 22.3. apakšpunktā paredzētajām projekta vadības personāla atlīdzības izmaksām un 22.10. apakšpunktā paredzētajām publicitātes pasākumu izmaksām, sniedz saskaņā ar Komisijas regulu Nr. 1407/2013.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minētajiem finansējuma saņēmējiem, kas nekvalificējas kā valsts atbalsts komercdarbībai, nepārsniedz 100 % no projekta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Finansējumu piešķir saskaņā ar Komisijas regulu Nr. 651/2014, ja atbalstāmā darbība atbilst vienam vai vairākiem Komisijas regulas Nr. 651/2014 55. panta 1. punktā norādītajiem mērķiem un darbībām un ievēroti Komisijas regulas Nr. 651/2014 1. panta 2. punkta "c" un "d" apakšpunktā, 1. panta 3. punktā, 1. panta 4. punkta "a" un "c" apakšpunktā, 1. panta 5. punktā, 2. panta 18. punktā, 4. panta 1. punkta "bb" apakšpunktā, 4. panta 2. punktā un 5. pantā minētie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var sniegt, ja projekta iesniedzējs pamato projekta ietvaros plānotā atbalsta stimulējošo ietekmi atbilstoši Komisijas regulas Nr.  </w:t>
      </w:r>
      <w:r w:rsidR="00000000" w:rsidRPr="00000000" w:rsidDel="00000000">
        <w:rPr>
          <w:rtl w:val="0"/>
        </w:rPr>
        <w:t xml:space="preserve">651/2014</w:t>
      </w:r>
      <w:r w:rsidR="00000000" w:rsidRPr="00000000" w:rsidDel="00000000">
        <w:rPr>
          <w:rtl w:val="0"/>
        </w:rPr>
        <w:t xml:space="preserve"> 6. panta 2. punkta nosacījumiem, iesniedzot rakstisku projekta iesniegumu pirms projekta īstenošanas uzsākšanas. Ja šis nosacījums nav ievērots, visas projekta izmaksas tiek uzskatītas par neattiecināmajām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Atbalsts netiek sniegts atpūtas parku vai viesnīcu infrastruktūras izveidei.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lietojot sporta infrastruktūru, ievēro Komisijas regulas Nr.  </w:t>
      </w:r>
      <w:r w:rsidR="00000000" w:rsidRPr="00000000" w:rsidDel="00000000">
        <w:rPr>
          <w:rtl w:val="0"/>
        </w:rPr>
        <w:t xml:space="preserve">651/2014</w:t>
      </w:r>
      <w:r w:rsidR="00000000" w:rsidRPr="00000000" w:rsidDel="00000000">
        <w:rPr>
          <w:rtl w:val="0"/>
        </w:rPr>
        <w:t xml:space="preserve"> 55. panta 2., 4., 5. un 6. punkta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investīciju atbilstības uzraudzību atbilstoši komercdarbības atbalsta nosacījumiem visā projekta dzīves ciklā nodrošina sadarbības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kapitālsabiedrība var saņemt atbalstu ieguldījumiem no publiskā finansējuma, ievērojot vienu no šiem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veic saimniecisko darbību un atbalsta sniegšana tam pasākuma ietvaros ir kvalificējama kā valsts atbalsts komercdarbībai, publiskais finansējums nepārsniedz summu, kas vajadzīga pamatdarbības zaudējumu segšanai un samērīgai peļņai attiecīgajā laikposmā. Finansējuma saņēmējs samērīgu peļņu nosaka iepriekš saskaņā ar savām prognozēm vai izmanto atgūšanas mehānismu;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veic saimniecisko darbību un atbalsta sniegšana tam pasākuma ietvaros ir kvalificējama kā valsts atbalsts komercdarbībai, un ja atbalsts nepārsniedz 2 miljonus </w:t>
      </w:r>
      <w:r w:rsidR="00000000" w:rsidRPr="00000000" w:rsidDel="00000000">
        <w:rPr>
          <w:i w:val="1"/>
          <w:rtl w:val="0"/>
        </w:rPr>
        <w:t xml:space="preserve">euro</w:t>
      </w:r>
      <w:r w:rsidR="00000000" w:rsidRPr="00000000" w:rsidDel="00000000">
        <w:rPr>
          <w:rtl w:val="0"/>
        </w:rPr>
        <w:t xml:space="preserve">, publiskais finansējums nepārsniedz 80 % no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Projekta iesniedzējs nodrošina projekta līdzfinansējumu,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neveic saimniecisko darbību un atbalsta sniegšana tam specifiskā atbalsta ietvaros nav kvalificējama kā valsts atbalsts komercdarbībai, projekta iesniedzēja līdzfinansējums nav mazāks par 15 % no projekta kopējām attiecināmajām izmaksām, ieskaitot valsts budžeta dotāciju atbilstoši normatīvajiem aktiem par valsts budžeta dotācijas piešķiršanu pašvaldībām Eiropas Savienības struktūrfondu un Kohēzijas fonda 2014.–2020. gada plānošanas periodā līdzfinansēto projektu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veic saimniecisko darbību un atbalsta sniegšana tam specifiskā atbalsta ietvaros ir kvalificējama kā valsts atbalsts komercdarbībai, projekta iesniedzēja privātā līdzfinansējuma apmēru nosaka, ņemot vērā, ka publiskais finansējums nepārsniedz šo noteikumu </w:t>
      </w:r>
      <w:r w:rsidR="00000000" w:rsidRPr="00000000" w:rsidDel="00000000">
        <w:rPr>
          <w:rtl w:val="0"/>
        </w:rPr>
        <w:t xml:space="preserve">66.1.</w:t>
      </w:r>
      <w:r w:rsidR="00000000" w:rsidRPr="00000000" w:rsidDel="00000000">
        <w:rPr>
          <w:rtl w:val="0"/>
        </w:rPr>
        <w:t xml:space="preserve"> vai </w:t>
      </w:r>
      <w:r w:rsidR="00000000" w:rsidRPr="00000000" w:rsidDel="00000000">
        <w:rPr>
          <w:rtl w:val="0"/>
        </w:rPr>
        <w:t xml:space="preserve">66.2.</w:t>
      </w:r>
      <w:r w:rsidR="00000000" w:rsidRPr="00000000" w:rsidDel="00000000">
        <w:rPr>
          <w:rtl w:val="0"/>
        </w:rPr>
        <w:t xml:space="preserve"> apakšpunktā minēto maksimālo atbalsta apmēru. Projekta iesniedzēja līdzfinansējums nodrošināms no tādiem komerciāliem vai pašu finanšu līdzekļiem, kas nav saistīti ar jebkādu valsts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izņemot 22.1. (ja izmaksas radušās pirms projekta iesnieguma iesniegšanas sadarbības iestādē), 22.3. un 22.10. apakšpunktu, noteiktās izmaksas ir attiecināmas ieguldījumu atbalstam saskaņā ar Komisijas regulas Nr.  </w:t>
      </w:r>
      <w:r w:rsidR="00000000" w:rsidRPr="00000000" w:rsidDel="00000000">
        <w:rPr>
          <w:rtl w:val="0"/>
        </w:rPr>
        <w:t xml:space="preserve">651/2014</w:t>
      </w:r>
      <w:r w:rsidR="00000000" w:rsidRPr="00000000" w:rsidDel="00000000">
        <w:rPr>
          <w:rtl w:val="0"/>
        </w:rPr>
        <w:t xml:space="preserve"> 55. panta 7. un 8. punktu, ja tās ir iekļautas pamatlīdzekļu vērtībā.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Piešķirto atbalstu drīkst kumulēt ar citu valsts atbalstu komercdarbībai un </w:t>
      </w:r>
      <w:r w:rsidR="00000000" w:rsidRPr="00000000" w:rsidDel="00000000">
        <w:rPr>
          <w:i w:val="1"/>
          <w:rtl w:val="0"/>
        </w:rPr>
        <w:t xml:space="preserve">de minimis</w:t>
      </w:r>
      <w:r w:rsidR="00000000" w:rsidRPr="00000000" w:rsidDel="00000000">
        <w:rPr>
          <w:rtl w:val="0"/>
        </w:rPr>
        <w:t xml:space="preserve"> atbalstu, kurš attiecas uz atšķirīgām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Piešķirto atbalstu drīkst kumulēt ar citu valsts atbalstu komercdarbībai attiecībā uz tām pašām attiecināmajām izmaksām, kas daļēji vai pilnībā pārklājas, tikai tādā gadījumā, ja pēc kumulēšanas netiek pārsniegts šo noteikumu 66.1. un 66.2. apakšpunktā noteiktais maksimālais atbalsta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Sadarbības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pieņemot lēmumu par </w:t>
      </w:r>
      <w:r w:rsidR="00000000" w:rsidRPr="00000000" w:rsidDel="00000000">
        <w:rPr>
          <w:i w:val="1"/>
          <w:rtl w:val="0"/>
        </w:rPr>
        <w:t xml:space="preserve">de minimis</w:t>
      </w:r>
      <w:r w:rsidR="00000000" w:rsidRPr="00000000" w:rsidDel="00000000">
        <w:rPr>
          <w:rtl w:val="0"/>
        </w:rPr>
        <w:t xml:space="preserve"> atbalsta piešķiršanu 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22.10.</w:t>
      </w:r>
      <w:r w:rsidR="00000000" w:rsidRPr="00000000" w:rsidDel="00000000">
        <w:rPr>
          <w:rtl w:val="0"/>
        </w:rPr>
        <w:t xml:space="preserve"> apakšpunktā minētajām attiecināmajām izmaksām, ievēro šādus nosacījumus: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Komisijas regulas Nr. 1407/2013 1. pantā minētos nozaru un darbības ierobežojumus;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pirms finanšu atbalsta piešķiršanas pārbauda, vai projekta iesniedzējam minētais atbalsts nepalielina attiecīgajā fiskālajā gadā, kā arī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apmēru. Izvērtējot atbalsta apmēru, saņemtais </w:t>
      </w:r>
      <w:r w:rsidR="00000000" w:rsidRPr="00000000" w:rsidDel="00000000">
        <w:rPr>
          <w:i w:val="1"/>
          <w:rtl w:val="0"/>
        </w:rPr>
        <w:t xml:space="preserve">de minimis</w:t>
      </w:r>
      <w:r w:rsidR="00000000" w:rsidRPr="00000000" w:rsidDel="00000000">
        <w:rPr>
          <w:rtl w:val="0"/>
        </w:rPr>
        <w:t xml:space="preserve"> atbalsts vērtējams viena vienota uzņēmuma līmenī. Vienots uzņēmums ir uzņēmums, kas atbilst Komisijas regulas Nr. 1407/2013 2. panta 2. punktā minētajiem kritērijiem;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Komisijas regulas Nr. 651/2014 9. panta 1. un 4. punktā noteiktos publicitātes pasākumus un 12. pantā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Komisijas regulas Nr. 1407/2013 6. panta 4. 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Publiskā finansējuma aizvietošanas nosacījumi valsts sabiedrībai ar ierobežotu atbildību "Kultūras un sporta centrs "Daugavas stadions""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šo noteikumu ietvaros plānots īstenot projektu, kurā publiskais finansējums tika piešķirts 5.6.1. specifiskā atbalsta mērķa ietvaros, ievērojot šo noteikumu 46. punktu, tad piešķirto publisko finansējumu aizvieto, ja ir ievēroti šādi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 ir pieņēmusi lēmumu, ar kuru paziņotais valsts atbalsts komercdarbībai viena vienota ieguldījumu projekta ietvaros ir atzīts par saderīgu ar iekšējo tirgu;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kuras ir norādītas paziņojumā Eiropas Komisijai un par kurām ir pieņemts šo noteikumu 72.1. apakšpunktā minētais lēmums, ir attiecināmas saskaņā ar šo noteikumu 22.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iestāde, lai nodrošinātu šo noteikumu 46. punktā minētā projekta atbilstību un finansējuma saņēmēja atbilstību pasākuma atlases kārtas ieviešanas nosacījumiem, nevērtē projekta iesniedzēja un projekta iesnieguma atbilstību kritērijiem, kas tika vērtēti 5.6.1. specifiskā atbalsta mērķa ietvaros. Vērtēšanas kārtību sadarbības iestāde nosaka atlases nolikumā un kritēriju piemērošanas metodikā.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Atbalsta piešķiršanas nosacījumi kultūras 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1.3. un 1.4. apakšpunktā un 3. un 4. punktā minētajam finansējuma saņēmējam piešķir, ja tas nekvalificējas kā atbalsts komercdarbības veikšanai, izpildot: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nosacījumu, ka visi ieņēmumi, ko kultūras institūcija gūst no tās veiktās saimnieciskās darbības, tai skaitā no biļešu tirdzniecības un atsevišķu telpu iznomāšanas, nepārsniedz 50 % no kopējām kultūras institūcijas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nosacījumus, ja tiek pārsniegts šo noteikumu </w:t>
      </w:r>
      <w:r w:rsidR="00000000" w:rsidRPr="00000000" w:rsidDel="00000000">
        <w:rPr>
          <w:rtl w:val="0"/>
        </w:rPr>
        <w:t xml:space="preserve">74.1.</w:t>
      </w:r>
      <w:r w:rsidR="00000000" w:rsidRPr="00000000" w:rsidDel="00000000">
        <w:rPr>
          <w:rtl w:val="0"/>
        </w:rPr>
        <w:t xml:space="preserve"> apakšpunktā minētais līmenis: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vai netieša ietekme uz Eiropas Savienības iekšējo tirgu nav būtiska, un projekta iesniedzējs sniedz pamatotu skaidrojumu, kas to apliecina;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sagaidāma ietekme uz tirdzniecību un konkurenci Eiropas Savienības iekšējā tirgū abu šādu iemeslu dēļ:</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 ne mazāk kā 85 % gadījumu ir paredzēta kultūras pakalpojumu sniegšana Latvijas Republikas teritorijā esošajiem pakalpojuma lietotājiem;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kultūras pakalpojumu sniedzēji ir tikai tādi uzņēmumi, kas darbojas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ar saimniecisku darbību nesaistīts projekts vai projekts, kas saistīts ar tādu saimniecisko darbību, kurai sniegtais atbalsts nav kvalificējams kā komercdarbības atbalsts, ieviešanas gaitā vai projekta dzīves ciklā kļūst par projektu, kas saistīts ar saimniecisku darbību, kurai sniegtais atbalsts būtu kvalificējams kā komercdarbības atbalsts, finansējuma saņēmējs atmaksā sadarbības iestādei visu nelikumīgi saņemto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minētās izmaksas atjaunojamos energoresursus izmantojošu elektroenerģijas ražošanas avotu iegādei un uzstādīšanai ir pieļaujamas šo noteikumu </w:t>
      </w:r>
      <w:r w:rsidR="00000000" w:rsidRPr="00000000" w:rsidDel="00000000">
        <w:rPr>
          <w:rtl w:val="0"/>
        </w:rPr>
        <w:t xml:space="preserve">74.1.</w:t>
      </w:r>
      <w:r w:rsidR="00000000" w:rsidRPr="00000000" w:rsidDel="00000000">
        <w:rPr>
          <w:rtl w:val="0"/>
        </w:rPr>
        <w:t xml:space="preserve"> apakšpunktā</w:t>
      </w:r>
      <w:r w:rsidR="00000000" w:rsidRPr="00000000" w:rsidDel="00000000">
        <w:rPr>
          <w:rtl w:val="0"/>
        </w:rPr>
        <w:t xml:space="preserve"> minētajos gadījumos, ja vismaz 80 procenti no gadā saražotās enerģijas tiek izmantoti pašpatēriņam.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iestāde reizi gadā visā projekta dzīves ciklā nodrošina uzraudzību attiecībā uz veikto investīciju atbilstību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74.</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778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finansējuma saņēmējs nevar pilnībā pabeigt projektā plānotās aktivitātes un sasniegt projektā plānotos iznākuma rādītājus līdz 2023. gada 31. decembrim, finansējuma saņēmējs var pabeigt projektā plānotās aktivitātes un sasniegt plānotos iznākuma rādītājus par saviem līdzekļiem līdz 2024. gada 31. oktobrim, nodrošinot projekta mērķa sasniegšanu un tā funkcionalitāti.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minētajā gadījumā finansējuma saņēmējs: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iesniedz sadarbības iestādē priekšlikumus par līguma vai vienošanās par projekta īstenošanu grozījumiem;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noslēguma maksājuma pieprasījumu par laikposmu līdz 2023. gada 31. decembrim un iesniedz to sadarbības iestādē. Noslēguma maksājuma pieprasījumā nodala laikposmā līdz 2023. gada 31. decembrim pabeigtās projekta aktivitātes, sasniegtos iznākuma rādītājus un veiktos izdevumus no projekta aktivitātēm, plānotajiem iznākuma rādītājiem un izdevumiem, kas tiks pabeigti, sasniegti vai veikti līdz projekta īstenošanas termiņa beigām, bet ne vēlāk kā līdz 2024. gada 31. oktobrim;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oktobrim iesniedz sadarbības iestādē pamatojošo dokumentāciju par pabeigtajām projekta aktivitātēm un sasniegtajiem iznākuma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iestāde apstiprina un veic maksājumus par šo noteikumu </w:t>
      </w:r>
      <w:r w:rsidR="00000000" w:rsidRPr="00000000" w:rsidDel="00000000">
        <w:rPr>
          <w:rtl w:val="0"/>
        </w:rPr>
        <w:t xml:space="preserve">77.2.</w:t>
      </w:r>
      <w:r w:rsidR="00000000" w:rsidRPr="00000000" w:rsidDel="00000000">
        <w:rPr>
          <w:rtl w:val="0"/>
        </w:rPr>
        <w:t xml:space="preserve"> apakšpunktā minētajā noslēguma maksājuma pieprasījumā iekļautajiem attiecināmajiem izdevumiem, kas veikti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finansējuma saņēmējs, kas nav tiešās valsts pārvaldes iestāde vai tās padotības iestāde,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minētajā gadījumā nepabeidz par saviem līdzekļiem visas plānotās projekta aktivitātes un nesasniedz visus plānotos iznākuma rādītājus līdz 2024. gada 31. oktobrim, finansējuma saņēmējam ir pienākums visu projektā saņemto publisko finansējumu atmaksāt sadarbības iestādei saskaņā ar līguma vai vienošanās par projekta īstenošanu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minēto pārskatu par 2024. pārskata gadu sagatavo līdz 2025. gada 1. jūlijam, bet, sākot ar 2025. pārskata gadu, – līdz nākamā gada 1. martam.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25-TA-412</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25-TA-412</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noteikumu_konsolidētā_versija_25-TA-412.docx</dc:title>
</cp:coreProperties>
</file>

<file path=docProps/custom.xml><?xml version="1.0" encoding="utf-8"?>
<Properties xmlns="http://schemas.openxmlformats.org/officeDocument/2006/custom-properties" xmlns:vt="http://schemas.openxmlformats.org/officeDocument/2006/docPropsVTypes"/>
</file>