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2.2.1. specifiskā atbalsta mērķa "Veicināt ilgtspējīgu ūdenssaimniecību" 2.2.1.1. pasākuma "Notekūdeņu un to dūņu apsaimniekošanas sistēmas attīstība piesārņojuma samazināšanai" (turpmāk – pasākums) trešo projektu iesniegumu atlases kārtu (turpmāk – trešā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trešajai atlases kārtai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atlases kārtas mērķis ir nodrošināt ūdenssaimniecības pakalpojumu efektivitāti, paplašinot centralizētās kanalizācijas sistēmas tīklus, nodrošinot atbilstošas notekūdeņu savākšanas un attīrīšanas infrastruktūras jaudas, kā arī uzlabojot iekārtu darbības, tai skaitā notekūdeņu attīrīšanas efektivitāti.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Trešās atlases kārtas mērķteritorijas ir sabiedrisko ūdenssaimniecības pakalpojumu sniegšanas teritorijās esošo notekūdeņu apsaimniekošanas aglomerācijas (turpmāk - aglomerācijas) ar cilvēkekvivalentu lielāku par 2000, bet mazāku par 10 000.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Trešās atlases kārtas ietvaros sasniedzamais nacionālais rādītājs un tā vērtība, kas sasniedzama līdz 2029. gada 31. decembrim: iedzīvotāji, kuriem uzlabota notekūdeņu attīrīšanas kvalitāte un efektivitāte. Nacionālā rādītāja vērtība tiek uzskatīta par sasniegtu pēc noslēguma maksājuma veikšanas, aprēķinos izmantojot jaunākos projekta iesniedzējam pieejamos datus par iedzīvotāju skaitu, kuriem nodrošināti centralizētās notekūdeņu apsaimniekošanas sistēmas pakalpojumi, un demogrāfisko rādītāju izmaiņu ietekmi uz vērtības izmaiņām.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Trešo atlases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Trešās atlases kārtas ietvaros atbildīgās iestādes funkcijas pilda Viedās administrācijas un reģionālās attīstības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kārtai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Trešās atlases kārtas ietvaros plānotais un pieejamais kopējais attiecināmais finansējums ir ne mazāks kā 33 005 565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21 453 617 </w:t>
      </w:r>
      <w:r w:rsidR="00000000" w:rsidRPr="00000000" w:rsidDel="00000000">
        <w:rPr>
          <w:i w:val="1"/>
          <w:rtl w:val="0"/>
        </w:rPr>
        <w:t xml:space="preserve">euro</w:t>
      </w:r>
      <w:r w:rsidR="00000000" w:rsidRPr="00000000" w:rsidDel="00000000">
        <w:rPr>
          <w:rtl w:val="0"/>
        </w:rPr>
        <w:t xml:space="preserve"> un privātais vai pašvaldības līdzfinansējums – ne mazāks kā 11 551 948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Trešās atlases kārtas ietvaros Eiropas Reģionālās attīstības fonda finansējuma atbalsta intensitāte nepārsniedz 65 procentus no kopējām attiecināmajām izmaksām, un nacionālā līdzfinansējuma apmērs, ko veido privātais vai pašvaldības finansējums, ir vismaz 35 procenti no projekta kopējā attiecināmā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Trešajā atlases kārtā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Trešajā atlases kārtā viena projekta iesnieguma maksimālais Eiropas Reģionālās attīstības fonda finansējums ir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Trešās atlases kārtas ietvaros finansējuma saņēmējs, kurš sniedz pakalpojumu vairākās aglomerācijās, var iesniegt ne vairāk kā trīs projekta iesniegumus (par vienu aglomerāciju var iesniegt vienu projekta iesniegumu), katra iesniegtā projekta īstenošanas attiecināmajām izmaksām nepārsniedzot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Eiropas Reģionālās attīstības fonda finansējumu.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Trešās atlases kārtas ietvaros projekta iesniedzējs, kas pēc projekta iesnieguma apstiprināšanas kļūst par finansējuma saņēmēju, ir sabiedrisko ūdenssaimniecības pakalpojumu sniedzējs – pašvaldība vai tās izveidota iestāde (tai skaitā aģentūra), vai kapitālsabiedrība, kurai ar pašvaldību ir noslēgts pakalpojuma līgums par sabiedrisko ūdenssaimniecības pakalpojumu sniegšanu (turpmāk – pakalpojuma līgums).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Pakalpojuma līgumā norāda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ūdenssaimniecības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ūdenssaimniecības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ūdenssaimniecības pakalpojumu sniedzējam piešķirto ekskluzīvo vai īpašo tiesību būtību, tajā skaitā norādot atbilstošo pašvaldības administratīvo teritoriju vai pašvaldības administratīvās teritorijas daļu un konkrētos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2012/21/ES).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sabiedrisko pakalpojumu sniedz finansējuma saņēmējs, kas ir pašvaldība vai tās iestāde, ir pieņemts pārvaldes lēmums par sabiedrisko ūdenssaimniecības pakalpojumu sniegšanu. Pārvaldes lēmumā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ūdenssaimniecības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sabiedriskajiem ūdenssaimniecības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pakalpojumu sniegšanas periodu, kas nav īsāks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atsauci uz Eiropas Komisijas lēmumu Nr. 2012/21/ES.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sabiedrisko pakalpojumu sniedz finansējuma saņēmējs, kas ir pašvaldības aģentūra, ir izdoti pašvaldības saistošie noteikumi par sabiedrisko ūdenssaimniecības pakalpojumu sniegšanu. Saistošajos noteikumos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aģentūras uzdevumus sabiedrisko ūdenssaimniecības pakalpojumu sniegšanā, tai skaitā sniedzamo sabiedrisko ūdenssaimniecības pakalpojumu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ūdenssaimniecības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sabiedriskajiem ūdenssaimniecības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ūdenssaimniecības pakalpojumu sniedzējam uzturēt un atjaunot nepieciešamo tehnisko aprīkojumu, lai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minētos pakalpojumus varētu sniegt atbilstoši katram pakalpojumu veidam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ūdenssaimniecības pakalpojumu sniegšanas periodu, kas nav mazāks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sabiedrisko ūdenssaimniecības pakalpojumu sniedzējam piešķirtās ekskluzīvās vai īpašās tiesības, tai skaitā norādot atbilstošo pašvaldības administratīvo teritoriju vai pašvaldības administratīvās teritorijas daļu un konkrētos sniedzamos ūdenssaimniecības sabiedriskos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iespējas saņemt atlīdzības jeb kompensācijas maksājumus – investīcijas sabiedrisko ūdenssaimniecības pakalpojumu sniegšanas infrastruktūrā – un nosacījumus kompensācijas aprēķināšanai, kontrolei un pārskatīšanai, kā arī kompensācijas pārmaksas novēršanai un atmaksāšanai;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atsauci uz Eiropas Komisijas lēmumu Nr. 2012/21/ES.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Komercdarbības atbalstu sabiedrisko ūdenssaimniecības pakalpojumu sniedzējiem piešķir kā kompensāciju par sabiedriskajiem pakalpojumiem dažiem uzņēmumiem, kuriem uzticēts sniegt pakalpojumus ar vispārēju tautsaimniecisku nozīmi.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 sabiedrisko ūdenssaimniecības pakalpojumu sniedzējs – nevar būt tāds saimnieciskās darbības veicējs, attiecībā uz kuru uzņēmumu grupas līmenī konstatējama vismaz viena no Komisijas 2014. gada 17. jūnija Regulas Nr. 651/2014, ar ko noteiktas atbalsta kategorijas atzīst par saderīgām ar iekšējo tirgu, piemērojot Līguma 107. un 108. pantu, 2. panta 18. punktā paredzētajām pazīmēm. Grūtībās nonākuša uzņēmuma pazīmes vērtē projekta iesniedzējam individuāli un tā saistīto personu grupai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Komercdarbības atbalsta saņēmējs un vispārējas tautsaimnieciskas nozīmes pakalpojuma pilnvarojuma uzlicējs nodrošina, ka pilnvarojuma periodā un vismaz 10 gadus pēc pilnvarojuma perioda beigām tiek saglabāta un nodrošināta pieejamība projekta izmaksas pamatojošajiem dokumentiem, visai ar projektu saistītajai dokumentācijai un visai nepieciešamajai informācijai, lai noteiktu, vai piešķirtais atbalsts ir atbilstošs komercdarbības atbalsta piešķiršanas nosacījumiem vispārējas tautsaimnieciskas nozīmes pakalpojumu 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iesniedz sadarbības iestādē vispārējas tautsaimnieciskas nozīmes pakalpojuma pilnvarojuma uzlicēja apliecinājumu par šo noteikumu </w:t>
      </w:r>
      <w:r w:rsidR="00000000" w:rsidRPr="00000000" w:rsidDel="00000000">
        <w:rPr>
          <w:rtl w:val="0"/>
        </w:rPr>
        <w:t xml:space="preserve">13.6. </w:t>
      </w:r>
      <w:r w:rsidR="00000000" w:rsidRPr="00000000" w:rsidDel="00000000">
        <w:rPr>
          <w:rtl w:val="0"/>
        </w:rPr>
        <w:t xml:space="preserve">apakšpunktā</w:t>
      </w:r>
      <w:r w:rsidR="00000000" w:rsidRPr="00000000" w:rsidDel="00000000">
        <w:rPr>
          <w:rtl w:val="0"/>
        </w:rPr>
        <w:t xml:space="preserve">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iesniedzējam ir īpašuma tiesības uz nekustamo īpašumu, tai skaitā zemi un infrastruktūru, kurā tiks veiktas projektā paredzētās darbības, uz termiņu, kas nav mazāks par 30 gadiem no projekta iesnieguma iesniegšanas dienas sadarbības iestādē (īpašuma tiesības nostiprinātas zemesgrāmatā līdz pirmā maksājuma pieprasījuma iesniegšanai sadarbības iestādē). Ja projektā paredzētas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projektā iesaistītajam cita īpašnieka zemesgabalam ir noteikts apgrūtinājums.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 tai skaitā apliecina projekta iesniedzēja interešu konflikta neesību.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trešajā atlases kārtā atbilstoši sadarbības iestādes izstrādātajiem metodiskajiem norādījumiem veic projekta finanšu analīzi, ievērojot, ka projekta dzīves cikls ir 30 gadi.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ievēro horizontālos principus "Vienlīdzība, iekļaušana, nediskriminācija un pamattiesību ievērošana", "Nenodarīt būtisku kaitējumu", "Energoefektivitāte pirmajā vietā", "Klimatdrošināšana" un Eiropas Savienības un Latvijas Republikas normatīvos aktus vides aizsardzības jomā,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apliecinājumu,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70 procenti (pēc masas) no būvgružiem un ēku nojaukšanas atkritumiem, kas nav bīstami un būvlaukumā radušies būvniecības laikā (izņemot dabiskos materiālus), tiks sagatavoti atkārtotai izmantošanai, pārstrādei un citu materiālu reģenerācijai (tostarp aizbēršanas darbībām, kurās atkritumus izmanto citu materiālu aizstāšanai)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procesa laikā tiks ievērotas prasības par koku ciršanas aizliegumu putnu ligzdošanas periodā un nodrošināta esošo koku veselības stāvokļa aizsardzība, tai skaitā nekaitējot koku saknēm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paredz enerģijas ietaupījumu vai pasākumus, kas kopumā vai daļēji ir aizstājami ar izmaksefektīviem, tehniski, ekonomiski un videi nekaitīgiem alternatīviem pasākumiem un vienlīdz efektīvi nodrošina attiecīgo mērķu sasniegšanu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veic siltumnīcefekta gāzu emisiju ietaupījuma aprēķinu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projektā paredz darbības, kas veicina horizontālā principa "Vienlīdzība, iekļaušana, nediskriminācija un pamattiesību ievērošana"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Atbalstāmās darbības plāno saskaņā ar Notekūdeņu apsaimniekošanas investīciju plānu 2021.–2027. gadam vai aglomerācijai atbilstošo Upju baseinu apgabalu apsaimniekošanas un Plūdu riska pārvaldības plānu 2021.–2027. gadam, ietverot investīcijas notekūdeņu attīrīšanas kvalitātes uzlabošanai vai notekūdeņu dūņu apsaimniekošanai.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iesniegumā iekļauj šādas atbalstāmās darbības, kas ietver investīcijas infrastruktūras izveidei, pārbūvei vai atjaunošanai, kā arī tās funkcionalitātes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centralizētās kanalizācijas sistēmas tīklu izbūve, pārbūve un atjaunošana;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kanalizācijas sūkņu staciju izbūve, pārbūve vai atjaunošana;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attīrīšanas iekārtu jaudas palielināšana un attīrīšanas efektivitātes uzlabošana;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dūņu atūdeņošanas un apstrādes iekārtu izbūve, pārbūve un atjaunošana, pamatojot siltumnīcefekta gāzu emisiju samazinājumu;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netiek atbalstīta: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iegāde;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atkritumu apglabāšanas, pārstrādes un sadedzināšanas infrastruktūras attīstīšana;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dūņu pārstrādes infrastruktūras attīstīšana;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piesārņoto vietu remediācija un sanācijas darbu veikšana;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enerģiju ražojošu iekārtu uzstādīšana, nomaiņa vai atjaunošana.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attiecināmās izmaksas trešās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un projekta īstenošanas dokumentācijas izstrāde, kopā nepārsniedzot 10 procentus no projekta kopējām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analīzes sagatavošanas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ietekmes uz vidi novērtējuma vai sākotnējā izvērtējuma sagatavošanas izmaksas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siltumnīcefekta gāzu emisiju ietaupījuma aprēķina sagatavošanas izmaksas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darbību īstenošanai nepieciešamo tehnisko specifikāciju, tehnisko projektu vai būvprojektu sagatavošanas (tai skaitā ar būvniecības ieceri un būvprojekta minimālā sastāvā saistīto sagatavošanas darbu)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tehnoloģisko iekārtu demontāžas izmaksas, ēku un būvju nojaukšanas izmaksas, ja tās tiešā veidā saistītas ar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darbību īstenošanu, nepārsniedzot 10 procentus no šo noteikumu </w:t>
      </w:r>
      <w:r w:rsidR="00000000" w:rsidRPr="00000000" w:rsidDel="00000000">
        <w:rPr>
          <w:rtl w:val="0"/>
        </w:rPr>
        <w:t xml:space="preserve">28.3. </w:t>
      </w:r>
      <w:r w:rsidR="00000000" w:rsidRPr="00000000" w:rsidDel="00000000">
        <w:rPr>
          <w:rtl w:val="0"/>
        </w:rPr>
        <w:t xml:space="preserve">apakšpunktā</w:t>
      </w:r>
      <w:r w:rsidR="00000000" w:rsidRPr="00000000" w:rsidDel="00000000">
        <w:rPr>
          <w:rtl w:val="0"/>
        </w:rPr>
        <w:t xml:space="preserve"> minētajām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iekārtu, mehānismu un inženiertehnisko risinājumu, kā arī tiem nepieciešamo ražošanas telpu vai to kombinācijas izmaksas, kas nodrošina lielāku notekūdeņu attīrīšanas jaudu, uzlabo notekūdeņu attīrīšanas efektivitāti, samazina vides piesārņojumu vai tā risku vai samazina siltumnīcefekta gāzu emisijas notekūdeņu dūņu apstrādes procesā, tai skaitā saistīto būvdarbu, piegādes un pakalpojumu līgumu izmaksas, ievērojot, ka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minētajām darbībām paredzētās izmaksas nepārsniedz 30 procentus no projektā paredzētajām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Minētās izmaksas nepārsniedz vienu procentu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neparedzētie izdevumi, nepārsniedzot piecus procentus no projekta kopējām tiešajām attiecināmajām izmaksām, kuru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rezerves izmaksas ne vairāk kā 10 procentu apmērā no attiecināmo būvniecības izmaksu kopsummas, ja projektā paredzētas būvniecības darbības un attiecināmajās izmaksās nav iekļauti šo noteikumu </w:t>
      </w:r>
      <w:r w:rsidR="00000000" w:rsidRPr="00000000" w:rsidDel="00000000">
        <w:rPr>
          <w:rtl w:val="0"/>
        </w:rPr>
        <w:t xml:space="preserve">28.6. </w:t>
      </w:r>
      <w:r w:rsidR="00000000" w:rsidRPr="00000000" w:rsidDel="00000000">
        <w:rPr>
          <w:rtl w:val="0"/>
        </w:rPr>
        <w:t xml:space="preserve">apakšpunktā</w:t>
      </w:r>
      <w:r w:rsidR="00000000" w:rsidRPr="00000000" w:rsidDel="00000000">
        <w:rPr>
          <w:rtl w:val="0"/>
        </w:rPr>
        <w:t xml:space="preserve"> minētie neparedzētie izdevumi. Rezerves izmaksu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pievienotās vērtības nodokļa izmaksas, kas tiešā veidā saistītas ar projektu,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ietvaros izmaksas ir attiecināmas, ja 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tieši saistītas ar projekta ietvaros veiktajām darbībām, ir samērīgas, pamatotas un atbilst normatīvo aktu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veiktas par aktīviem, kas ir jauni un iegādāti no trešajām personām par tirgus vērtību un kurus izmanto tikai finansējuma saņēmēja vajadzībām;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radušās uz darba līguma pamata;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radušās pēc šo noteikumu </w:t>
      </w:r>
      <w:r w:rsidR="00000000" w:rsidRPr="00000000" w:rsidDel="00000000">
        <w:rPr>
          <w:rtl w:val="0"/>
        </w:rPr>
        <w:t xml:space="preserve">31. punktā</w:t>
      </w:r>
      <w:r w:rsidR="00000000" w:rsidRPr="00000000" w:rsidDel="00000000">
        <w:rPr>
          <w:rtl w:val="0"/>
        </w:rPr>
        <w:t xml:space="preserve"> noteiktā termiņa – projekta iesniegumā neiekļauj un finansējumu nepiešķir pabeigtām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plāno tikai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Izmaksas ir attiecināmas no 2025. gada 1. janvāra.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Atlases kārtas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projektu īsteno atbilstoši noslēgtajā civiltiesiskajā līgumā vai vienošanās par projekta īstenošanu noteiktajam termiņam,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rādītāju vērtībām un sniedz šo informāciju sadarbības iestādei;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(tai skaitā veic ietekmes uz vidi novērtējumu vai sākotnējo izvērtējumu,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interešu konflikta risku saskaņā ar Eiropas Parlamenta un Padomes 2024. gada 23. septembra Regulas (ES, Euratom) 2024/2509 par finanšu noteikumiem, ko piemēro Savienības vispārējam budžetam 61. panta prasībām un paraksta interešu konflikta neesības apliecinājumu;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saviem līdzekļiem sedz projekta īstenošanas gaitā radušos sadārdzinājumu un citas papildu izmaksas, nodrošinot piemērojamo komercdarbības atbalsta regulējuma normu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dubultā finansējuma neiestāšanos, tostarp, ka projektā plānotie darbi netiek finansēti vai līdzfinansēti, kā arī tos nav plānots finansēt vai līdzfinansēt no citiem valsts vai ārvalstu finanšu atbalsta instrumentiem par tām pašām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ir saņemtas visas vides aizsardzības vai būvniecības jomu reglamentējošos normatīvajos aktos noteiktās atļaujas, kas nepieciešamas, lai  īstenotu projektā plānotos tehnoloģiskos risinājumus un veiktu  būvniecību vai iekārtu uzstādīšanu. Attiecībā uz atbilstošu piesārņojošās darbības atļauju nodrošina, ka tā (vai atbilstoši grozījumi tajā, ja attiecināms) tiek saņemta vismaz līdz noslēguma maksājuma pieprasījumam;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vismaz piecus gadus pēc noslēguma maksājuma veikšanas izmanto projektā ieguldītās investīcijas un radītos pamatlīdzekļus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ieguldīto investīciju ilgtspēju un uzturēšanu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ietvaros, veicot iepirkumus, ievēro, ka iepirkumu procedūras tiek veiktas saskaņā ar normatīvo aktu prasībām sabiedrisko pakalpojumu sniedzēju iepirkumu jomā, īstenojot atklātu, pārredzamu, nediskriminējošu un konkurenci nodrošinošu iepirkuma procedūru, un (ja attiecināms) nodrošina vides prasību integrāciju preču, pakalpojumu un būvdarbu iepirkumos (zaļais publiskais iepirkums), kā arī izvērtē sociāli atbildīga un inovatīva publiskā iepirkuma nosacījumu piemērošanu;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gadījumā, ja ārpus projekta vai cita projekta ietvaros tiek īstenotas darbības projekta mērķa sasniegšanai, nodrošina, ka visas darbības ir pabeigtas un infrastruktūras objekti ir funkcionējoši līdz noslēguma maksājuma pieprasījuma iesniegšanas dienai sadarbības iestādē.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un tā pamatojumu un pamatojoties uz finansējuma saņēmēja rakstisku avansa pieprasījumu, var piešķirt finansējuma saņēmējam avansu pēc tam, kad noslēgts civiltiesiskais līgums vai vienošanās. Finansējuma saņēmējs avansa pieprasījumu sagatavo un sadarbības iestāde to apstiprina, ņemot vērā nosacījumu, ka plānotā avansa apmērs atbilst spējai to izlietot sešu mēnešu laikā vai sešu mēnešu laikā saimnieciskā gada ietvaros, ja finansējuma saņēmējs ir pašvaldība, pašvaldības iestāde vai aģentūra.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Komercdarbības atbalstu, kas piešķirts šo noteikumu ietvaros, drīkst kumulēt ar citu komercdarbības atbalstu, kas sniegts kā kompensācija par sabiedriskajiem pakalpojumiem dažiem uzņēmumiem, kuriem uzticēts sniegt pakalpojumus ar vispārēju tautsaimniecisku nozīmi,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25-TA-497</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25-TA-497</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noteikumu_projekts_25-TA-497.docx</dc:title>
</cp:coreProperties>
</file>

<file path=docProps/custom.xml><?xml version="1.0" encoding="utf-8"?>
<Properties xmlns="http://schemas.openxmlformats.org/officeDocument/2006/custom-properties" xmlns:vt="http://schemas.openxmlformats.org/officeDocument/2006/docPropsVTypes"/>
</file>