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Patvēruma vietas Latvijas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1281"/>
        <w:gridCol w:w="4826"/>
        <w:gridCol w:w="4826"/>
        <w:gridCol w:w="4826"/>
        <w:tblGridChange w:id="0">
          <w:tblGrid>
            <w:gridCol w:w="514"/>
            <w:gridCol w:w="2718"/>
            <w:gridCol w:w="1281"/>
            <w:gridCol w:w="4826"/>
            <w:gridCol w:w="4826"/>
            <w:gridCol w:w="48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Patvēruma vietas nosaukums un  								atbildīgā institūcija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koordinātas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Patvēruma vietas galvenie  								ierobežojumi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maksimālā iegrime, garums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nelabvēlīgs vēja virziens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biezi apdzīvotas  								vietas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Liepājas osta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56º 32´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20º 59´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43.piestātne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 – 200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0,3–1,0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Liepājas enkurvieta L3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56º 32´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20º 46´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S–W–N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 								osta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03´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24º 04´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Piestātne ZO14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 – 105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(vārtos)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 								ostas enkurvieta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07´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23º 52´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Irbes jūras šaurumā 15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NW–NE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Ventspils osta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24´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21º 32´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37.piestātne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 – 200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N–NW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Ventspils ostas enkurvieta V2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 								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31´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21º 22´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S–W–N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Enkurvieta "Aiz Kolkas"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Krasta apsardze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(Nepiešķirt, ja ir naftas noplūde)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42´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22º 45´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Irbes jūras šaurumā 15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NE–E–SE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Konkrētu patvēruma vietu </w:t>
      </w:r>
      <w:r w:rsidR="00000000" w:rsidRPr="00000000" w:rsidDel="00000000">
        <w:rPr>
          <w:i w:val="1"/>
          <w:rtl w:val="0"/>
        </w:rPr>
        <w:t xml:space="preserve">MRCC</w:t>
      </w:r>
      <w:r w:rsidR="00000000" w:rsidRPr="00000000" w:rsidDel="00000000">
        <w:rPr>
          <w:rtl w:val="0"/>
        </w:rPr>
        <w:t xml:space="preserve"> nosaka, pamatojoties uz saņemto  informāciju, vispusīgu situācijas analīzi un risku novērtējumu.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21-TA-347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21-TA-347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noteikumu_konsolidētā_versija_p3_21-TA-347.docx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