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janvārī (prot. Nr. 1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valstij piederošo domājamo daļu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ievērojot Publiskas personas mantas atsavināšanas 14. panta nosacījumus, 218/758 domājamās daļas no nekustamā īpašuma (nekustamā īpašuma kadastra Nr. 0100 589 0243) – būves (būves kadastra apzīmējums 0100 089 2064 002) – Raunas ielā 22D, Rīgā, kas ierakstīts zemesgrāmatā uz valsts vārda Finanšu ministrijas personā, kopā ar būvei piesaistāmajām 82949/540833  domājamām daļām no nekustamā īpašuma (nekustamā īpašuma kadastra Nr. 0100 089 2193) – zemes vienības (zemes vienības kadastra apzīmējums 0100 089 2193) 0,1354  ha platībā – Raunas ielā 22B, Rīgā, kas ierakstītas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22-TA-137</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22-TA-137</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rīkojuma_projekts_22-TA-137.docx</dc:title>
</cp:coreProperties>
</file>

<file path=docProps/custom.xml><?xml version="1.0" encoding="utf-8"?>
<Properties xmlns="http://schemas.openxmlformats.org/officeDocument/2006/custom-properties" xmlns:vt="http://schemas.openxmlformats.org/officeDocument/2006/docPropsVTypes"/>
</file>