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29. aprīlī (prot. Nr. 17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meža zemes "Dorēnieši" Inešu pagastā, Cēsu novadā, atsavināšanu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Meža likuma 44. panta ceturtās daļas 3. punkta "a" apakšpunktu atļaut ēku (būvju) īpašniekam, atsavinot nekustamo īpašumu "Dorēnieši" (nekustamā īpašuma kadastra Nr. 4254 002 0159) – zemes vienību (zemes vienības kadastra apzīmējums 4254 002 0159) 1,6 ha platībā – Inešu pagastā, Cēsu novadā, kas ierakstīts zemesgrāmatā uz valsts vārda Satiksmes ministrijas personā, atsavināt arī minētās zemes vienības sastāvā esošo valsts meža zemi 0,82 ha platībā, kas nepieciešama uz zemes vienības esošā būvju nekustamā īpašuma uzturēšanai.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akciju sabiedrībai "Valsts nekustamie īpašumi" nodot atsavināšanai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Publiskas personas mantas atsavināšanas likumā noteiktajā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25-TA-256</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25-TA-256</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rīkojuma_projekts_25-TA-256.docx</dc:title>
</cp:coreProperties>
</file>

<file path=docProps/custom.xml><?xml version="1.0" encoding="utf-8"?>
<Properties xmlns="http://schemas.openxmlformats.org/officeDocument/2006/custom-properties" xmlns:vt="http://schemas.openxmlformats.org/officeDocument/2006/docPropsVTypes"/>
</file>