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66A" w:rsidRDefault="0093366A" w:rsidP="0093366A">
      <w:pPr>
        <w:shd w:val="clear" w:color="auto" w:fill="FFFFFF"/>
        <w:spacing w:after="0" w:line="240" w:lineRule="auto"/>
        <w:jc w:val="right"/>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3.pielikums</w:t>
      </w:r>
      <w:r w:rsidRPr="00AF6EF7">
        <w:rPr>
          <w:rFonts w:ascii="Times New Roman" w:eastAsia="Times New Roman" w:hAnsi="Times New Roman" w:cs="Times New Roman"/>
          <w:sz w:val="20"/>
          <w:szCs w:val="20"/>
          <w:lang w:eastAsia="lv-LV"/>
        </w:rPr>
        <w:br/>
        <w:t>Ministru kabineta</w:t>
      </w:r>
      <w:r w:rsidR="00C2041A" w:rsidRPr="00AF6EF7">
        <w:rPr>
          <w:rFonts w:ascii="Times New Roman" w:eastAsia="Times New Roman" w:hAnsi="Times New Roman" w:cs="Times New Roman"/>
          <w:sz w:val="20"/>
          <w:szCs w:val="20"/>
          <w:lang w:eastAsia="lv-LV"/>
        </w:rPr>
        <w:t>2022</w:t>
      </w:r>
      <w:r w:rsidRPr="00AF6EF7">
        <w:rPr>
          <w:rFonts w:ascii="Times New Roman" w:eastAsia="Times New Roman" w:hAnsi="Times New Roman" w:cs="Times New Roman"/>
          <w:sz w:val="20"/>
          <w:szCs w:val="20"/>
          <w:lang w:eastAsia="lv-LV"/>
        </w:rPr>
        <w:t xml:space="preserve">.gada </w:t>
      </w:r>
      <w:r w:rsidR="00C2041A" w:rsidRPr="00AF6EF7">
        <w:rPr>
          <w:rFonts w:ascii="Times New Roman" w:eastAsia="Times New Roman" w:hAnsi="Times New Roman" w:cs="Times New Roman"/>
          <w:sz w:val="20"/>
          <w:szCs w:val="20"/>
          <w:lang w:eastAsia="lv-LV"/>
        </w:rPr>
        <w:t>__</w:t>
      </w:r>
      <w:r w:rsidRPr="00AF6EF7">
        <w:rPr>
          <w:rFonts w:ascii="Times New Roman" w:eastAsia="Times New Roman" w:hAnsi="Times New Roman" w:cs="Times New Roman"/>
          <w:sz w:val="20"/>
          <w:szCs w:val="20"/>
          <w:lang w:eastAsia="lv-LV"/>
        </w:rPr>
        <w:t>.</w:t>
      </w:r>
      <w:r w:rsidR="00C2041A" w:rsidRPr="00AF6EF7">
        <w:rPr>
          <w:rFonts w:ascii="Times New Roman" w:eastAsia="Times New Roman" w:hAnsi="Times New Roman" w:cs="Times New Roman"/>
          <w:sz w:val="20"/>
          <w:szCs w:val="20"/>
          <w:lang w:eastAsia="lv-LV"/>
        </w:rPr>
        <w:t>_______</w:t>
      </w:r>
      <w:r w:rsidRPr="00AF6EF7">
        <w:rPr>
          <w:rFonts w:ascii="Times New Roman" w:eastAsia="Times New Roman" w:hAnsi="Times New Roman" w:cs="Times New Roman"/>
          <w:sz w:val="20"/>
          <w:szCs w:val="20"/>
          <w:lang w:eastAsia="lv-LV"/>
        </w:rPr>
        <w:br/>
        <w:t>noteikumiem Nr.</w:t>
      </w:r>
      <w:bookmarkStart w:id="0" w:name="piel-536381"/>
      <w:bookmarkEnd w:id="0"/>
      <w:r w:rsidR="00C2041A" w:rsidRPr="00AF6EF7">
        <w:rPr>
          <w:rFonts w:ascii="Times New Roman" w:eastAsia="Times New Roman" w:hAnsi="Times New Roman" w:cs="Times New Roman"/>
          <w:sz w:val="20"/>
          <w:szCs w:val="20"/>
          <w:lang w:eastAsia="lv-LV"/>
        </w:rPr>
        <w:t>_____</w:t>
      </w:r>
    </w:p>
    <w:p w:rsidR="00AF6EF7" w:rsidRPr="00AF6EF7" w:rsidRDefault="00AF6EF7" w:rsidP="0093366A">
      <w:pPr>
        <w:shd w:val="clear" w:color="auto" w:fill="FFFFFF"/>
        <w:spacing w:after="0" w:line="240" w:lineRule="auto"/>
        <w:jc w:val="right"/>
        <w:rPr>
          <w:rFonts w:ascii="Times New Roman" w:eastAsia="Times New Roman" w:hAnsi="Times New Roman" w:cs="Times New Roman"/>
          <w:sz w:val="20"/>
          <w:szCs w:val="20"/>
          <w:lang w:eastAsia="lv-LV"/>
        </w:rPr>
      </w:pPr>
    </w:p>
    <w:p w:rsidR="0093366A" w:rsidRPr="00AF6EF7" w:rsidRDefault="0093366A" w:rsidP="00AF6EF7">
      <w:pPr>
        <w:shd w:val="clear" w:color="auto" w:fill="FFFFFF"/>
        <w:spacing w:after="240" w:line="240" w:lineRule="auto"/>
        <w:jc w:val="center"/>
        <w:rPr>
          <w:rFonts w:ascii="Times New Roman" w:eastAsia="Times New Roman" w:hAnsi="Times New Roman" w:cs="Times New Roman"/>
          <w:b/>
          <w:bCs/>
          <w:sz w:val="27"/>
          <w:szCs w:val="27"/>
          <w:lang w:eastAsia="lv-LV"/>
        </w:rPr>
      </w:pPr>
      <w:bookmarkStart w:id="1" w:name="765574"/>
      <w:bookmarkStart w:id="2" w:name="n-765574"/>
      <w:bookmarkEnd w:id="1"/>
      <w:bookmarkEnd w:id="2"/>
      <w:r w:rsidRPr="00AF6EF7">
        <w:rPr>
          <w:rFonts w:ascii="Times New Roman" w:eastAsia="Times New Roman" w:hAnsi="Times New Roman" w:cs="Times New Roman"/>
          <w:b/>
          <w:bCs/>
          <w:sz w:val="27"/>
          <w:szCs w:val="27"/>
          <w:lang w:eastAsia="lv-LV"/>
        </w:rPr>
        <w:t xml:space="preserve">Programmas </w:t>
      </w:r>
      <w:r w:rsidR="00C2041A" w:rsidRPr="00AF6EF7">
        <w:rPr>
          <w:rFonts w:ascii="Times New Roman" w:eastAsia="Times New Roman" w:hAnsi="Times New Roman" w:cs="Times New Roman"/>
          <w:b/>
          <w:bCs/>
          <w:sz w:val="27"/>
          <w:szCs w:val="27"/>
          <w:lang w:eastAsia="lv-LV"/>
        </w:rPr>
        <w:t xml:space="preserve">ieviešanai </w:t>
      </w:r>
      <w:r w:rsidRPr="00AF6EF7">
        <w:rPr>
          <w:rFonts w:ascii="Times New Roman" w:eastAsia="Times New Roman" w:hAnsi="Times New Roman" w:cs="Times New Roman"/>
          <w:b/>
          <w:bCs/>
          <w:sz w:val="27"/>
          <w:szCs w:val="27"/>
          <w:lang w:eastAsia="lv-LV"/>
        </w:rPr>
        <w:t>paredzētā higiēnas</w:t>
      </w:r>
      <w:r w:rsidR="004B1F95" w:rsidRPr="00AF6EF7">
        <w:rPr>
          <w:rFonts w:ascii="Times New Roman" w:eastAsia="Times New Roman" w:hAnsi="Times New Roman" w:cs="Times New Roman"/>
          <w:b/>
          <w:bCs/>
          <w:sz w:val="27"/>
          <w:szCs w:val="27"/>
          <w:lang w:eastAsia="lv-LV"/>
        </w:rPr>
        <w:t xml:space="preserve"> un saimniecības</w:t>
      </w:r>
      <w:r w:rsidRPr="00AF6EF7">
        <w:rPr>
          <w:rFonts w:ascii="Times New Roman" w:eastAsia="Times New Roman" w:hAnsi="Times New Roman" w:cs="Times New Roman"/>
          <w:b/>
          <w:bCs/>
          <w:sz w:val="27"/>
          <w:szCs w:val="27"/>
          <w:lang w:eastAsia="lv-LV"/>
        </w:rPr>
        <w:t xml:space="preserve"> preču drošuma prasības un kvalitātes kritēriji</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I. Ziepes, matu šampūns, krēms</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1. Ziepes un matu šampūns visām vecuma grupām</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1.1. Ziepju un matu šampūna ražošanā un izplatīšanā ievērotas prasības, kas noteiktas Eiropas Parlamenta un Padomes 2009. gada 30. novembra Regulā (EK) Nr.  </w:t>
      </w:r>
      <w:hyperlink r:id="rId6" w:tgtFrame="_blank" w:history="1">
        <w:r w:rsidRPr="00AF6EF7">
          <w:rPr>
            <w:rFonts w:ascii="Times New Roman" w:eastAsia="Times New Roman" w:hAnsi="Times New Roman" w:cs="Times New Roman"/>
            <w:sz w:val="24"/>
            <w:szCs w:val="24"/>
            <w:lang w:eastAsia="lv-LV"/>
          </w:rPr>
          <w:t>1223/2009</w:t>
        </w:r>
      </w:hyperlink>
      <w:r w:rsidRPr="00AF6EF7">
        <w:rPr>
          <w:rFonts w:ascii="Times New Roman" w:eastAsia="Times New Roman" w:hAnsi="Times New Roman" w:cs="Times New Roman"/>
          <w:sz w:val="24"/>
          <w:szCs w:val="24"/>
          <w:lang w:eastAsia="lv-LV"/>
        </w:rPr>
        <w:t> par kosmētikas līdzekļiem.</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1.2. Ziepju un matu šampūna ražošanā un izplatīšanā ievērotas prasības, kas noteiktas Latvijas normatīvajos aktos kosmētikas līdzekļu jomā.</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2. Ziepes, matu šampūns, krēms zīdaiņiem un maziem bērniem</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Ziepju, matu šampūna (tai skaitā visām vecuma grupām, zīdaiņiem un maziem bērniem) un bērnu krēma ražošanā un izplatīšanā ievērotas prasības, kas noteiktas:</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 Eiropas Parlamenta un Padomes 2009. gada 30. novembra Regulā (EK) Nr.  </w:t>
      </w:r>
      <w:hyperlink r:id="rId7" w:tgtFrame="_blank" w:history="1">
        <w:r w:rsidRPr="00AF6EF7">
          <w:rPr>
            <w:rFonts w:ascii="Times New Roman" w:eastAsia="Times New Roman" w:hAnsi="Times New Roman" w:cs="Times New Roman"/>
            <w:sz w:val="24"/>
            <w:szCs w:val="24"/>
            <w:lang w:eastAsia="lv-LV"/>
          </w:rPr>
          <w:t>1223/2009</w:t>
        </w:r>
      </w:hyperlink>
      <w:r w:rsidRPr="00AF6EF7">
        <w:rPr>
          <w:rFonts w:ascii="Times New Roman" w:eastAsia="Times New Roman" w:hAnsi="Times New Roman" w:cs="Times New Roman"/>
          <w:sz w:val="24"/>
          <w:szCs w:val="24"/>
          <w:lang w:eastAsia="lv-LV"/>
        </w:rPr>
        <w:t> par kosmētikas līdzekļiem;</w:t>
      </w:r>
      <w:bookmarkStart w:id="3" w:name="_GoBack"/>
      <w:bookmarkEnd w:id="3"/>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2) Latvijas normatīvajos aktos kosmētikas līdzekļu jomā.</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2.1. Ziepes zīdaiņiem un maziem bērniem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Piemērotas arī sausai un jutīgai ādai</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Citi kritēriji</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Nesatur smaržvielas, krāsvielas un konservantus, nekairina acis</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2.2. Matu šampūns zīdaiņiem un maziem bērniem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Šampūns zīdaiņu un bērnu galvas ādas un matu kopšanai ar barojošu un mitrinošu iedarbību</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Citi kritēriji</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Nesatur smaržvielas, krāsvielas un konservantus, nekairina acis</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2.3. Krēms zīdaiņiem un maziem bērniem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lastRenderedPageBreak/>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Krēms zīdaiņu un mazu bērnu ādas kopšanai un profilaktiskai aizsardzībai pret mitrumu, apsārtumu, iekaisumu</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Citi kritēriji</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Bez krāsvielām un konservantiem, satur antioksidantu, nesatur smaržvielas</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II. Zobu pasta</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1. Zobu pasta visām vecuma grupām</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Zobu pastas ražošanā un izplatīšanā ievērotas prasības, kas noteiktas:</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 Eiropas Parlamenta un Padomes 2009. gada 30. novembra Regulā (EK) Nr.  </w:t>
      </w:r>
      <w:hyperlink r:id="rId8" w:tgtFrame="_blank" w:history="1">
        <w:r w:rsidRPr="00AF6EF7">
          <w:rPr>
            <w:rFonts w:ascii="Times New Roman" w:eastAsia="Times New Roman" w:hAnsi="Times New Roman" w:cs="Times New Roman"/>
            <w:sz w:val="24"/>
            <w:szCs w:val="24"/>
            <w:lang w:eastAsia="lv-LV"/>
          </w:rPr>
          <w:t>1223/2009</w:t>
        </w:r>
      </w:hyperlink>
      <w:r w:rsidRPr="00AF6EF7">
        <w:rPr>
          <w:rFonts w:ascii="Times New Roman" w:eastAsia="Times New Roman" w:hAnsi="Times New Roman" w:cs="Times New Roman"/>
          <w:sz w:val="24"/>
          <w:szCs w:val="24"/>
          <w:lang w:eastAsia="lv-LV"/>
        </w:rPr>
        <w:t> par kosmētikas līdzekļiem;</w:t>
      </w:r>
    </w:p>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2) Latvijas normatīvajos aktos kosmētikas līdzekļu jomā.</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2. Zobu pasta maziem bērniem</w:t>
      </w:r>
    </w:p>
    <w:p w:rsidR="00AB5061" w:rsidRPr="00AF6EF7" w:rsidRDefault="00AB5061" w:rsidP="00AF6EF7">
      <w:pPr>
        <w:shd w:val="clear" w:color="auto" w:fill="FFFFFF"/>
        <w:spacing w:before="120" w:after="120" w:line="293" w:lineRule="atLeast"/>
        <w:ind w:firstLine="301"/>
        <w:jc w:val="both"/>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sz w:val="24"/>
          <w:szCs w:val="24"/>
          <w:lang w:eastAsia="lv-LV"/>
        </w:rPr>
        <w:t>Zobu pastas izplatīšanā ievērotas prasības, kas noteiktas Eiropas Parlamenta un Padomes 2009. gada 30. novembra Regulā (EK) Nr.  </w:t>
      </w:r>
      <w:hyperlink r:id="rId9" w:tgtFrame="_blank" w:history="1">
        <w:r w:rsidRPr="00AF6EF7">
          <w:rPr>
            <w:rStyle w:val="Hyperlink"/>
            <w:rFonts w:ascii="Times New Roman" w:eastAsia="Times New Roman" w:hAnsi="Times New Roman" w:cs="Times New Roman"/>
            <w:sz w:val="24"/>
            <w:szCs w:val="24"/>
            <w:lang w:eastAsia="lv-LV"/>
          </w:rPr>
          <w:t>1223/2009</w:t>
        </w:r>
      </w:hyperlink>
      <w:r w:rsidRPr="00AF6EF7">
        <w:rPr>
          <w:rFonts w:ascii="Times New Roman" w:eastAsia="Times New Roman" w:hAnsi="Times New Roman" w:cs="Times New Roman"/>
          <w:sz w:val="24"/>
          <w:szCs w:val="24"/>
          <w:lang w:eastAsia="lv-LV"/>
        </w:rPr>
        <w:t> par kosmētikas līdzekļiem III pielikumā.</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Smarža un garša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Nedrīkst saturēt smaržvielas</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Piedevas</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AB5061"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 xml:space="preserve">Ar fluoru, ne mazāk kā 1000 </w:t>
            </w:r>
            <w:proofErr w:type="spellStart"/>
            <w:r w:rsidRPr="00AF6EF7">
              <w:rPr>
                <w:rFonts w:ascii="Times New Roman" w:eastAsia="Times New Roman" w:hAnsi="Times New Roman" w:cs="Times New Roman"/>
                <w:lang w:eastAsia="lv-LV"/>
              </w:rPr>
              <w:t>ppm</w:t>
            </w:r>
            <w:proofErr w:type="spellEnd"/>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Citi kritēriji</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Vismaz 50 % dabīgu sastāvdaļu.</w:t>
            </w:r>
          </w:p>
          <w:p w:rsidR="0093366A" w:rsidRPr="00AF6EF7" w:rsidRDefault="0093366A" w:rsidP="00164837">
            <w:pPr>
              <w:spacing w:before="100" w:beforeAutospacing="1" w:after="100" w:afterAutospacing="1" w:line="293" w:lineRule="atLeast"/>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 xml:space="preserve">Nesatur </w:t>
            </w:r>
            <w:proofErr w:type="spellStart"/>
            <w:r w:rsidRPr="00AF6EF7">
              <w:rPr>
                <w:rFonts w:ascii="Times New Roman" w:eastAsia="Times New Roman" w:hAnsi="Times New Roman" w:cs="Times New Roman"/>
                <w:lang w:eastAsia="lv-LV"/>
              </w:rPr>
              <w:t>triklozānu</w:t>
            </w:r>
            <w:proofErr w:type="spellEnd"/>
            <w:r w:rsidRPr="00AF6EF7">
              <w:rPr>
                <w:rFonts w:ascii="Times New Roman" w:eastAsia="Times New Roman" w:hAnsi="Times New Roman" w:cs="Times New Roman"/>
                <w:lang w:eastAsia="lv-LV"/>
              </w:rPr>
              <w:t xml:space="preserve">, nātrija </w:t>
            </w:r>
            <w:proofErr w:type="spellStart"/>
            <w:r w:rsidRPr="00AF6EF7">
              <w:rPr>
                <w:rFonts w:ascii="Times New Roman" w:eastAsia="Times New Roman" w:hAnsi="Times New Roman" w:cs="Times New Roman"/>
                <w:lang w:eastAsia="lv-LV"/>
              </w:rPr>
              <w:t>laurilsulfātu</w:t>
            </w:r>
            <w:proofErr w:type="spellEnd"/>
            <w:r w:rsidRPr="00AF6EF7">
              <w:rPr>
                <w:rFonts w:ascii="Times New Roman" w:eastAsia="Times New Roman" w:hAnsi="Times New Roman" w:cs="Times New Roman"/>
                <w:lang w:eastAsia="lv-LV"/>
              </w:rPr>
              <w:t xml:space="preserve"> un saharīnu</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III. Zobu suka</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1. Zobu suka visām vecuma grupām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Manuālai lietošanai (nav elektriska)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Cietība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Mīksti vai vidēji cieti sariņi</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2. Zobu suka maziem bērniem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Smarža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Nesatur smaržvielas</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lastRenderedPageBreak/>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Manuālai lietošanai (nav elektriska)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Izmērs</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Atbilstošs vecuma grupai</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Cietība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Mīksti sariņi</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IV. Veļas mazgāšanas un trauku mazgāšanas līdzekļi</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 Veļas mazgāšanas un trauku mazgāšanas līdzekļu ražošanā un izplatīšanā ievērotas prasības, kas noteiktas Eiropas Parlamenta un Padomes 2004. gada 31. marta Regulā (EK) Nr. 648/2004 par mazgāšanas līdzekļiem.</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2. Veļas mazgāšanas un trauku mazgāšanas līdzekļu ražošanā un izplatīšanā ievērotas prasības, kas noteiktas Latvijas normatīvajos aktos mazgāšanas līdzekļu jomā.</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V. Autiņbiksītes zīdaiņiem un maziem bērniem</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Zīdaiņiem un maziem bērniem paredzēto autiņbiksīšu ražošanā un izplatīšanā ievērotas prasības, kas noteiktas Eiropas Komisijas 2014. gada 24. oktobra lēmumā, ar ko nosaka ekoloģiskos kritērijus Eiropas Savienības ekomarķējuma piešķiršanai absorbējošiem higiēnas produktiem.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Materiāls</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proofErr w:type="spellStart"/>
            <w:r w:rsidRPr="00AF6EF7">
              <w:rPr>
                <w:rFonts w:ascii="Times New Roman" w:eastAsia="Times New Roman" w:hAnsi="Times New Roman" w:cs="Times New Roman"/>
                <w:lang w:eastAsia="lv-LV"/>
              </w:rPr>
              <w:t>Hipoalerģisks</w:t>
            </w:r>
            <w:proofErr w:type="spellEnd"/>
            <w:r w:rsidRPr="00AF6EF7">
              <w:rPr>
                <w:rFonts w:ascii="Times New Roman" w:eastAsia="Times New Roman" w:hAnsi="Times New Roman" w:cs="Times New Roman"/>
                <w:lang w:eastAsia="lv-LV"/>
              </w:rPr>
              <w:t>, bez hlora, virskārta 100 % bioloģiski sadalās, izgatavotas no atjaunojamiem resursiem</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 xml:space="preserve">Ar klipšu aizdari, vairākkārtēja (vismaz 3 reizes) klipšu fiksācija, ar elastīgu jostiņu priekšpusē un mugurpusē, īpašām elastīgām aizsargbarjerām papildu aizsardzībai pret noplūdēm, uzsūcošo slāni, kas nodrošina sausu </w:t>
            </w:r>
            <w:proofErr w:type="spellStart"/>
            <w:r w:rsidRPr="00AF6EF7">
              <w:rPr>
                <w:rFonts w:ascii="Times New Roman" w:eastAsia="Times New Roman" w:hAnsi="Times New Roman" w:cs="Times New Roman"/>
                <w:lang w:eastAsia="lv-LV"/>
              </w:rPr>
              <w:t>kontaktvirsmu</w:t>
            </w:r>
            <w:proofErr w:type="spellEnd"/>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VI. Autiņi zīdaiņiem un maziem bērniem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Materiāls</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Marle, 100 % kokvilna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Daudzreiz lietojams</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VII. Mitrās salvetes zīdaiņu un mazu bērnu ādas kopšanai</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Zīdaiņu un mazu bērnu ādas kopšanai paredzēto mitro salvešu ražošanā un izplatīšanā ievērotas prasības, kas noteiktas Eiropas Parlamenta un Padomes 2009. gada 30. novembra Regulā (EK) Nr.  </w:t>
      </w:r>
      <w:hyperlink r:id="rId10" w:tgtFrame="_blank" w:history="1">
        <w:r w:rsidRPr="00AF6EF7">
          <w:rPr>
            <w:rFonts w:ascii="Times New Roman" w:eastAsia="Times New Roman" w:hAnsi="Times New Roman" w:cs="Times New Roman"/>
            <w:sz w:val="24"/>
            <w:szCs w:val="24"/>
            <w:lang w:eastAsia="lv-LV"/>
          </w:rPr>
          <w:t>1223/2009</w:t>
        </w:r>
      </w:hyperlink>
      <w:r w:rsidRPr="00AF6EF7">
        <w:rPr>
          <w:rFonts w:ascii="Times New Roman" w:eastAsia="Times New Roman" w:hAnsi="Times New Roman" w:cs="Times New Roman"/>
          <w:sz w:val="24"/>
          <w:szCs w:val="24"/>
          <w:lang w:eastAsia="lv-LV"/>
        </w:rPr>
        <w:t> par kosmētikas līdzekļiem.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233"/>
        <w:gridCol w:w="5057"/>
      </w:tblGrid>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0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Smarža un garša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Bez aromāta</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lastRenderedPageBreak/>
              <w:t>Lietojamība</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Vienreizējai lietošanai</w:t>
            </w:r>
          </w:p>
        </w:tc>
      </w:tr>
      <w:tr w:rsidR="0093366A" w:rsidRPr="00AF6EF7" w:rsidTr="00164837">
        <w:tc>
          <w:tcPr>
            <w:tcW w:w="19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Citi kritēriji</w:t>
            </w:r>
          </w:p>
        </w:tc>
        <w:tc>
          <w:tcPr>
            <w:tcW w:w="30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 xml:space="preserve">Nesatur alkoholu un </w:t>
            </w:r>
            <w:proofErr w:type="spellStart"/>
            <w:r w:rsidRPr="00AF6EF7">
              <w:rPr>
                <w:rFonts w:ascii="Times New Roman" w:eastAsia="Times New Roman" w:hAnsi="Times New Roman" w:cs="Times New Roman"/>
                <w:lang w:eastAsia="lv-LV"/>
              </w:rPr>
              <w:t>parabēnus</w:t>
            </w:r>
            <w:proofErr w:type="spellEnd"/>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VIII. Citu higiēnas vai saimniecības preču drošuma un kvalitātes kritēriji</w:t>
      </w:r>
    </w:p>
    <w:p w:rsidR="0093366A" w:rsidRPr="00AF6EF7" w:rsidRDefault="0093366A" w:rsidP="00AF6EF7">
      <w:pPr>
        <w:shd w:val="clear" w:color="auto" w:fill="FFFFFF"/>
        <w:spacing w:before="100" w:beforeAutospacing="1" w:after="100" w:afterAutospacing="1" w:line="293" w:lineRule="atLeast"/>
        <w:ind w:firstLine="300"/>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Saskaņā ar šo noteikumu </w:t>
      </w:r>
      <w:hyperlink r:id="rId11" w:anchor="p20" w:history="1">
        <w:r w:rsidRPr="00AF6EF7">
          <w:rPr>
            <w:rFonts w:ascii="Times New Roman" w:eastAsia="Times New Roman" w:hAnsi="Times New Roman" w:cs="Times New Roman"/>
            <w:sz w:val="24"/>
            <w:szCs w:val="24"/>
            <w:lang w:eastAsia="lv-LV"/>
          </w:rPr>
          <w:t>20.</w:t>
        </w:r>
      </w:hyperlink>
      <w:r w:rsidRPr="00AF6EF7">
        <w:rPr>
          <w:rFonts w:ascii="Times New Roman" w:eastAsia="Times New Roman" w:hAnsi="Times New Roman" w:cs="Times New Roman"/>
          <w:sz w:val="24"/>
          <w:szCs w:val="24"/>
          <w:lang w:eastAsia="lv-LV"/>
        </w:rPr>
        <w:t> punktu pēc veiktā izvērtējuma ir pieļaujama citu higiēnas un saimniecības preču iekļaušana komplektā, ja tās atbilst šo noteikumu un citu normatīvo aktu prasībām.</w:t>
      </w:r>
    </w:p>
    <w:p w:rsidR="00AB5061"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 xml:space="preserve">IX. </w:t>
      </w:r>
      <w:r w:rsidR="00AB5061" w:rsidRPr="00AF6EF7">
        <w:rPr>
          <w:rFonts w:ascii="Times New Roman" w:eastAsia="Times New Roman" w:hAnsi="Times New Roman" w:cs="Times New Roman"/>
          <w:b/>
          <w:bCs/>
          <w:sz w:val="24"/>
          <w:szCs w:val="24"/>
          <w:lang w:eastAsia="lv-LV"/>
        </w:rPr>
        <w:t xml:space="preserve">Medicīniskās </w:t>
      </w:r>
      <w:r w:rsidRPr="00AF6EF7">
        <w:rPr>
          <w:rFonts w:ascii="Times New Roman" w:eastAsia="Times New Roman" w:hAnsi="Times New Roman" w:cs="Times New Roman"/>
          <w:b/>
          <w:bCs/>
          <w:sz w:val="24"/>
          <w:szCs w:val="24"/>
          <w:lang w:eastAsia="lv-LV"/>
        </w:rPr>
        <w:t>sejas masku kvalitātes kritēriji</w:t>
      </w:r>
    </w:p>
    <w:p w:rsidR="00C301BA" w:rsidRPr="00AF6EF7" w:rsidRDefault="00C301BA" w:rsidP="00AF6EF7">
      <w:pPr>
        <w:shd w:val="clear" w:color="auto" w:fill="FFFFFF"/>
        <w:spacing w:before="120" w:after="120" w:line="293" w:lineRule="atLeast"/>
        <w:ind w:firstLine="300"/>
        <w:jc w:val="both"/>
        <w:rPr>
          <w:rFonts w:ascii="Times New Roman" w:eastAsia="Times New Roman" w:hAnsi="Times New Roman" w:cs="Times New Roman"/>
          <w:bCs/>
          <w:sz w:val="24"/>
          <w:szCs w:val="24"/>
          <w:lang w:eastAsia="lv-LV"/>
        </w:rPr>
      </w:pPr>
      <w:r w:rsidRPr="00AF6EF7">
        <w:rPr>
          <w:rFonts w:ascii="Times New Roman" w:eastAsia="Times New Roman" w:hAnsi="Times New Roman" w:cs="Times New Roman"/>
          <w:bCs/>
          <w:sz w:val="24"/>
          <w:szCs w:val="24"/>
          <w:lang w:eastAsia="lv-LV"/>
        </w:rPr>
        <w:t>Prasības medicīnisko masku ražošanā un izplatīšanā ir noteiktas:</w:t>
      </w:r>
    </w:p>
    <w:p w:rsidR="00C301BA" w:rsidRPr="00AF6EF7" w:rsidRDefault="00C301BA" w:rsidP="00AF6EF7">
      <w:pPr>
        <w:pStyle w:val="ListParagraph"/>
        <w:numPr>
          <w:ilvl w:val="0"/>
          <w:numId w:val="1"/>
        </w:numPr>
        <w:shd w:val="clear" w:color="auto" w:fill="FFFFFF"/>
        <w:spacing w:before="120" w:after="120" w:line="293" w:lineRule="atLeast"/>
        <w:jc w:val="both"/>
        <w:rPr>
          <w:rFonts w:ascii="Times New Roman" w:eastAsia="Times New Roman" w:hAnsi="Times New Roman" w:cs="Times New Roman"/>
          <w:bCs/>
          <w:sz w:val="24"/>
          <w:szCs w:val="24"/>
          <w:lang w:eastAsia="lv-LV"/>
        </w:rPr>
      </w:pPr>
      <w:r w:rsidRPr="00AF6EF7">
        <w:rPr>
          <w:rFonts w:ascii="Times New Roman" w:eastAsia="Times New Roman" w:hAnsi="Times New Roman" w:cs="Times New Roman"/>
          <w:bCs/>
          <w:sz w:val="24"/>
          <w:szCs w:val="24"/>
          <w:lang w:eastAsia="lv-LV"/>
        </w:rPr>
        <w:t xml:space="preserve">Eiropas Parlamenta un Padomes </w:t>
      </w:r>
      <w:proofErr w:type="gramStart"/>
      <w:r w:rsidRPr="00AF6EF7">
        <w:rPr>
          <w:rFonts w:ascii="Times New Roman" w:eastAsia="Times New Roman" w:hAnsi="Times New Roman" w:cs="Times New Roman"/>
          <w:bCs/>
          <w:sz w:val="24"/>
          <w:szCs w:val="24"/>
          <w:lang w:eastAsia="lv-LV"/>
        </w:rPr>
        <w:t>2017.gada</w:t>
      </w:r>
      <w:proofErr w:type="gramEnd"/>
      <w:r w:rsidRPr="00AF6EF7">
        <w:rPr>
          <w:rFonts w:ascii="Times New Roman" w:eastAsia="Times New Roman" w:hAnsi="Times New Roman" w:cs="Times New Roman"/>
          <w:bCs/>
          <w:sz w:val="24"/>
          <w:szCs w:val="24"/>
          <w:lang w:eastAsia="lv-LV"/>
        </w:rPr>
        <w:t xml:space="preserve"> 5.aprīļa Regulā (ES) 2017/745 kas attiecas uz medicīniskām ierīcēm, ar ko groza Direktīvu 2001/83/EK, Regulu (EK) Nr. 178/2002 un Regulu (EK) Nr. 1223/2009 un atceļ Padomes Direktīvas 90/385/EK un 93/42/EEK.</w:t>
      </w:r>
    </w:p>
    <w:p w:rsidR="00C301BA" w:rsidRPr="00AF6EF7" w:rsidRDefault="00C301BA" w:rsidP="00AF6EF7">
      <w:pPr>
        <w:pStyle w:val="ListParagraph"/>
        <w:numPr>
          <w:ilvl w:val="0"/>
          <w:numId w:val="1"/>
        </w:numPr>
        <w:shd w:val="clear" w:color="auto" w:fill="FFFFFF"/>
        <w:spacing w:before="120" w:after="120" w:line="293" w:lineRule="atLeast"/>
        <w:jc w:val="both"/>
        <w:rPr>
          <w:rFonts w:ascii="Times New Roman" w:eastAsia="Times New Roman" w:hAnsi="Times New Roman" w:cs="Times New Roman"/>
          <w:bCs/>
          <w:sz w:val="24"/>
          <w:szCs w:val="24"/>
          <w:lang w:eastAsia="lv-LV"/>
        </w:rPr>
      </w:pPr>
      <w:r w:rsidRPr="00AF6EF7">
        <w:rPr>
          <w:rFonts w:ascii="Times New Roman" w:eastAsia="Times New Roman" w:hAnsi="Times New Roman" w:cs="Times New Roman"/>
          <w:bCs/>
          <w:sz w:val="24"/>
          <w:szCs w:val="24"/>
          <w:lang w:eastAsia="lv-LV"/>
        </w:rPr>
        <w:t xml:space="preserve"> standartā LVS EN 14683:2019 “Medicīniskās sejas maskas. Prasības un testēšanas metodes”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238"/>
        <w:gridCol w:w="6052"/>
      </w:tblGrid>
      <w:tr w:rsidR="0093366A" w:rsidRPr="00AF6EF7" w:rsidTr="00164837">
        <w:tc>
          <w:tcPr>
            <w:tcW w:w="13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95" w:after="0" w:line="240" w:lineRule="auto"/>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650" w:type="pct"/>
            <w:tcBorders>
              <w:top w:val="outset" w:sz="6" w:space="0" w:color="414142"/>
              <w:left w:val="outset" w:sz="6" w:space="0" w:color="414142"/>
              <w:bottom w:val="outset" w:sz="6" w:space="0" w:color="414142"/>
              <w:right w:val="outset" w:sz="6" w:space="0" w:color="414142"/>
            </w:tcBorders>
            <w:vAlign w:val="center"/>
            <w:hideMark/>
          </w:tcPr>
          <w:p w:rsidR="0093366A" w:rsidRPr="00AF6EF7" w:rsidRDefault="0093366A" w:rsidP="00164837">
            <w:pPr>
              <w:spacing w:before="195" w:after="0" w:line="240" w:lineRule="auto"/>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norma</w:t>
            </w:r>
          </w:p>
        </w:tc>
      </w:tr>
      <w:tr w:rsidR="0093366A" w:rsidRPr="00AF6EF7" w:rsidTr="00164837">
        <w:tc>
          <w:tcPr>
            <w:tcW w:w="13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Veids</w:t>
            </w:r>
          </w:p>
        </w:tc>
        <w:tc>
          <w:tcPr>
            <w:tcW w:w="3650" w:type="pct"/>
            <w:tcBorders>
              <w:top w:val="outset" w:sz="6" w:space="0" w:color="414142"/>
              <w:left w:val="outset" w:sz="6" w:space="0" w:color="414142"/>
              <w:bottom w:val="outset" w:sz="6" w:space="0" w:color="414142"/>
              <w:right w:val="outset" w:sz="6" w:space="0" w:color="414142"/>
            </w:tcBorders>
            <w:hideMark/>
          </w:tcPr>
          <w:p w:rsidR="0093366A" w:rsidRPr="00AF6EF7" w:rsidRDefault="0047753E"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Vienreizējas lietošanas</w:t>
            </w:r>
          </w:p>
        </w:tc>
      </w:tr>
      <w:tr w:rsidR="0093366A" w:rsidRPr="00AF6EF7" w:rsidTr="00164837">
        <w:tc>
          <w:tcPr>
            <w:tcW w:w="13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Materiāla filtrācijas efektivitāte</w:t>
            </w:r>
          </w:p>
        </w:tc>
        <w:tc>
          <w:tcPr>
            <w:tcW w:w="3650" w:type="pct"/>
            <w:tcBorders>
              <w:top w:val="outset" w:sz="6" w:space="0" w:color="414142"/>
              <w:left w:val="outset" w:sz="6" w:space="0" w:color="414142"/>
              <w:bottom w:val="outset" w:sz="6" w:space="0" w:color="414142"/>
              <w:right w:val="outset" w:sz="6" w:space="0" w:color="414142"/>
            </w:tcBorders>
            <w:hideMark/>
          </w:tcPr>
          <w:p w:rsidR="0093366A" w:rsidRPr="00AF6EF7" w:rsidRDefault="00704BBF" w:rsidP="00164837">
            <w:pPr>
              <w:spacing w:before="100" w:beforeAutospacing="1" w:after="100" w:afterAutospacing="1" w:line="293" w:lineRule="atLeast"/>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Baktēriju filtrācijas efektivitāte 95%</w:t>
            </w:r>
          </w:p>
        </w:tc>
      </w:tr>
      <w:tr w:rsidR="0093366A" w:rsidRPr="00AF6EF7" w:rsidTr="00704BBF">
        <w:trPr>
          <w:trHeight w:val="1573"/>
        </w:trPr>
        <w:tc>
          <w:tcPr>
            <w:tcW w:w="1350" w:type="pct"/>
            <w:tcBorders>
              <w:top w:val="outset" w:sz="6" w:space="0" w:color="414142"/>
              <w:left w:val="outset" w:sz="6" w:space="0" w:color="414142"/>
              <w:bottom w:val="outset" w:sz="6" w:space="0" w:color="414142"/>
              <w:right w:val="outset" w:sz="6" w:space="0" w:color="414142"/>
            </w:tcBorders>
            <w:hideMark/>
          </w:tcPr>
          <w:p w:rsidR="0093366A" w:rsidRPr="00AF6EF7" w:rsidRDefault="0093366A" w:rsidP="00164837">
            <w:pPr>
              <w:spacing w:before="195"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Marķējums un lietošanas instrukcija</w:t>
            </w:r>
          </w:p>
        </w:tc>
        <w:tc>
          <w:tcPr>
            <w:tcW w:w="3650" w:type="pct"/>
            <w:tcBorders>
              <w:top w:val="outset" w:sz="6" w:space="0" w:color="414142"/>
              <w:left w:val="outset" w:sz="6" w:space="0" w:color="414142"/>
              <w:bottom w:val="outset" w:sz="6" w:space="0" w:color="414142"/>
              <w:right w:val="outset" w:sz="6" w:space="0" w:color="414142"/>
            </w:tcBorders>
            <w:hideMark/>
          </w:tcPr>
          <w:p w:rsidR="00704BBF" w:rsidRPr="00AF6EF7" w:rsidRDefault="0093366A" w:rsidP="005E055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 xml:space="preserve">– </w:t>
            </w:r>
            <w:r w:rsidR="005E0557" w:rsidRPr="00AF6EF7">
              <w:rPr>
                <w:rFonts w:ascii="Times New Roman" w:eastAsia="Times New Roman" w:hAnsi="Times New Roman" w:cs="Times New Roman"/>
                <w:lang w:eastAsia="lv-LV"/>
              </w:rPr>
              <w:t>Marķējumā norādīts:</w:t>
            </w:r>
            <w:proofErr w:type="gramStart"/>
            <w:r w:rsidR="005E0557" w:rsidRPr="00AF6EF7">
              <w:rPr>
                <w:rFonts w:ascii="Times New Roman" w:eastAsia="Times New Roman" w:hAnsi="Times New Roman" w:cs="Times New Roman"/>
                <w:lang w:eastAsia="lv-LV"/>
              </w:rPr>
              <w:t xml:space="preserve"> </w:t>
            </w:r>
            <w:r w:rsidR="00704BBF" w:rsidRPr="00AF6EF7">
              <w:rPr>
                <w:rFonts w:ascii="Times New Roman" w:eastAsia="Times New Roman" w:hAnsi="Times New Roman" w:cs="Times New Roman"/>
                <w:lang w:eastAsia="lv-LV"/>
              </w:rPr>
              <w:t xml:space="preserve"> </w:t>
            </w:r>
            <w:proofErr w:type="gramEnd"/>
            <w:r w:rsidR="00704BBF" w:rsidRPr="00AF6EF7">
              <w:rPr>
                <w:rFonts w:ascii="Times New Roman" w:eastAsia="Times New Roman" w:hAnsi="Times New Roman" w:cs="Times New Roman"/>
                <w:lang w:eastAsia="lv-LV"/>
              </w:rPr>
              <w:t>CE marķējums, ražotāja nosaukums vai preču zīme, modeļa numurs vai nosaukums, maskas veids (kategorija)</w:t>
            </w:r>
            <w:r w:rsidR="005E0557" w:rsidRPr="00AF6EF7">
              <w:rPr>
                <w:rFonts w:ascii="Times New Roman" w:eastAsia="Times New Roman" w:hAnsi="Times New Roman" w:cs="Times New Roman"/>
                <w:lang w:eastAsia="lv-LV"/>
              </w:rPr>
              <w:t>, piemērotā standarta numurs un gads</w:t>
            </w:r>
          </w:p>
          <w:p w:rsidR="0093366A" w:rsidRPr="00AF6EF7" w:rsidRDefault="0093366A" w:rsidP="00704BBF">
            <w:pPr>
              <w:spacing w:before="100" w:beforeAutospacing="1" w:after="100" w:afterAutospacing="1" w:line="293" w:lineRule="atLeast"/>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Pievienota lietošanas instrukcija</w:t>
            </w:r>
            <w:r w:rsidR="00C301BA" w:rsidRPr="00AF6EF7">
              <w:rPr>
                <w:rFonts w:ascii="Times New Roman" w:eastAsia="Times New Roman" w:hAnsi="Times New Roman" w:cs="Times New Roman"/>
                <w:lang w:eastAsia="lv-LV"/>
              </w:rPr>
              <w:t xml:space="preserve"> vai norāde uz iepakojuma</w:t>
            </w:r>
            <w:r w:rsidRPr="00AF6EF7">
              <w:rPr>
                <w:rFonts w:ascii="Times New Roman" w:eastAsia="Times New Roman" w:hAnsi="Times New Roman" w:cs="Times New Roman"/>
                <w:lang w:eastAsia="lv-LV"/>
              </w:rPr>
              <w:t>:</w:t>
            </w:r>
            <w:r w:rsidR="00704BBF" w:rsidRPr="00AF6EF7">
              <w:rPr>
                <w:rFonts w:ascii="Times New Roman" w:eastAsia="Times New Roman" w:hAnsi="Times New Roman" w:cs="Times New Roman"/>
                <w:lang w:eastAsia="lv-LV"/>
              </w:rPr>
              <w:t xml:space="preserve"> ražotāja norādījumi par preces pareizu lietošanu un uzglabāšanas apstākļiem</w:t>
            </w:r>
          </w:p>
        </w:tc>
      </w:tr>
    </w:tbl>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bookmarkStart w:id="4" w:name="piel4"/>
      <w:bookmarkEnd w:id="4"/>
      <w:r w:rsidRPr="00AF6EF7">
        <w:rPr>
          <w:rFonts w:ascii="Times New Roman" w:eastAsia="Times New Roman" w:hAnsi="Times New Roman" w:cs="Times New Roman"/>
          <w:b/>
          <w:bCs/>
          <w:sz w:val="24"/>
          <w:szCs w:val="24"/>
          <w:lang w:eastAsia="lv-LV"/>
        </w:rPr>
        <w:t>X. Roku dezinfekcijas līdzekļa kvalitātes kritēriji</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Roku dezinfekcijas līdzeklis atbilst:</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 normatīvajiem aktiem par preču drošuma, kvalitātes un obligātajām nekaitīguma prasībām;</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2) Eiropas Parlamenta un Padomes 2008. gada 16. decembra Regulai (ES) Nr. </w:t>
      </w:r>
      <w:hyperlink r:id="rId12" w:tgtFrame="_blank" w:history="1">
        <w:r w:rsidRPr="00AF6EF7">
          <w:rPr>
            <w:rFonts w:ascii="Times New Roman" w:eastAsia="Times New Roman" w:hAnsi="Times New Roman" w:cs="Times New Roman"/>
            <w:sz w:val="24"/>
            <w:szCs w:val="24"/>
            <w:lang w:eastAsia="lv-LV"/>
          </w:rPr>
          <w:t>1272/2008</w:t>
        </w:r>
      </w:hyperlink>
      <w:r w:rsidRPr="00AF6EF7">
        <w:rPr>
          <w:rFonts w:ascii="Times New Roman" w:eastAsia="Times New Roman" w:hAnsi="Times New Roman" w:cs="Times New Roman"/>
          <w:sz w:val="24"/>
          <w:szCs w:val="24"/>
          <w:lang w:eastAsia="lv-LV"/>
        </w:rPr>
        <w:t> par vielu un maisījumu klasificēšanu, marķēšanu un iepakošanu un ar ko groza un atceļ Direktīvas </w:t>
      </w:r>
      <w:hyperlink r:id="rId13" w:tgtFrame="_blank" w:history="1">
        <w:r w:rsidRPr="00AF6EF7">
          <w:rPr>
            <w:rFonts w:ascii="Times New Roman" w:eastAsia="Times New Roman" w:hAnsi="Times New Roman" w:cs="Times New Roman"/>
            <w:sz w:val="24"/>
            <w:szCs w:val="24"/>
            <w:lang w:eastAsia="lv-LV"/>
          </w:rPr>
          <w:t>67/548/EEK</w:t>
        </w:r>
      </w:hyperlink>
      <w:r w:rsidRPr="00AF6EF7">
        <w:rPr>
          <w:rFonts w:ascii="Times New Roman" w:eastAsia="Times New Roman" w:hAnsi="Times New Roman" w:cs="Times New Roman"/>
          <w:sz w:val="24"/>
          <w:szCs w:val="24"/>
          <w:lang w:eastAsia="lv-LV"/>
        </w:rPr>
        <w:t> un </w:t>
      </w:r>
      <w:hyperlink r:id="rId14" w:tgtFrame="_blank" w:history="1">
        <w:r w:rsidRPr="00AF6EF7">
          <w:rPr>
            <w:rFonts w:ascii="Times New Roman" w:eastAsia="Times New Roman" w:hAnsi="Times New Roman" w:cs="Times New Roman"/>
            <w:sz w:val="24"/>
            <w:szCs w:val="24"/>
            <w:lang w:eastAsia="lv-LV"/>
          </w:rPr>
          <w:t>1999/45/EK</w:t>
        </w:r>
      </w:hyperlink>
      <w:r w:rsidRPr="00AF6EF7">
        <w:rPr>
          <w:rFonts w:ascii="Times New Roman" w:eastAsia="Times New Roman" w:hAnsi="Times New Roman" w:cs="Times New Roman"/>
          <w:sz w:val="24"/>
          <w:szCs w:val="24"/>
          <w:lang w:eastAsia="lv-LV"/>
        </w:rPr>
        <w:t> un groza Regulu (EK) Nr. </w:t>
      </w:r>
      <w:hyperlink r:id="rId15" w:tgtFrame="_blank" w:history="1">
        <w:r w:rsidRPr="00AF6EF7">
          <w:rPr>
            <w:rFonts w:ascii="Times New Roman" w:eastAsia="Times New Roman" w:hAnsi="Times New Roman" w:cs="Times New Roman"/>
            <w:sz w:val="24"/>
            <w:szCs w:val="24"/>
            <w:lang w:eastAsia="lv-LV"/>
          </w:rPr>
          <w:t>1907/2006</w:t>
        </w:r>
      </w:hyperlink>
      <w:r w:rsidRPr="00AF6EF7">
        <w:rPr>
          <w:rFonts w:ascii="Times New Roman" w:eastAsia="Times New Roman" w:hAnsi="Times New Roman" w:cs="Times New Roman"/>
          <w:sz w:val="24"/>
          <w:szCs w:val="24"/>
          <w:lang w:eastAsia="lv-LV"/>
        </w:rPr>
        <w:t>;</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3) Eiropas Parlamenta un Padomes 2012. gada 22. maija Regulai (ES) Nr. </w:t>
      </w:r>
      <w:hyperlink r:id="rId16" w:tgtFrame="_blank" w:history="1">
        <w:r w:rsidRPr="00AF6EF7">
          <w:rPr>
            <w:rFonts w:ascii="Times New Roman" w:eastAsia="Times New Roman" w:hAnsi="Times New Roman" w:cs="Times New Roman"/>
            <w:sz w:val="24"/>
            <w:szCs w:val="24"/>
            <w:lang w:eastAsia="lv-LV"/>
          </w:rPr>
          <w:t>528/2012</w:t>
        </w:r>
      </w:hyperlink>
      <w:r w:rsidRPr="00AF6EF7">
        <w:rPr>
          <w:rFonts w:ascii="Times New Roman" w:eastAsia="Times New Roman" w:hAnsi="Times New Roman" w:cs="Times New Roman"/>
          <w:sz w:val="24"/>
          <w:szCs w:val="24"/>
          <w:lang w:eastAsia="lv-LV"/>
        </w:rPr>
        <w:t> par biocīdu piedāvāšanu tirgū un lietošanu;</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4) Ministru kabineta 2013. gada 27. augusta noteikumiem Nr. 628 "</w:t>
      </w:r>
      <w:hyperlink r:id="rId17" w:tgtFrame="_blank" w:history="1">
        <w:r w:rsidRPr="00AF6EF7">
          <w:rPr>
            <w:rFonts w:ascii="Times New Roman" w:eastAsia="Times New Roman" w:hAnsi="Times New Roman" w:cs="Times New Roman"/>
            <w:sz w:val="24"/>
            <w:szCs w:val="24"/>
            <w:lang w:eastAsia="lv-LV"/>
          </w:rPr>
          <w:t>Prasības attiecībā uz darbībām ar biocīdiem</w:t>
        </w:r>
      </w:hyperlink>
      <w:r w:rsidRPr="00AF6EF7">
        <w:rPr>
          <w:rFonts w:ascii="Times New Roman" w:eastAsia="Times New Roman" w:hAnsi="Times New Roman" w:cs="Times New Roman"/>
          <w:sz w:val="24"/>
          <w:szCs w:val="24"/>
          <w:lang w:eastAsia="lv-LV"/>
        </w:rPr>
        <w:t>".</w:t>
      </w:r>
    </w:p>
    <w:tbl>
      <w:tblPr>
        <w:tblW w:w="5000" w:type="pct"/>
        <w:jc w:val="center"/>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990"/>
        <w:gridCol w:w="6300"/>
      </w:tblGrid>
      <w:tr w:rsidR="0093366A" w:rsidRPr="00AF6EF7" w:rsidTr="00AF6EF7">
        <w:trPr>
          <w:jc w:val="center"/>
        </w:trPr>
        <w:tc>
          <w:tcPr>
            <w:tcW w:w="1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Kvalitātes kritērija nosaukums</w:t>
            </w:r>
          </w:p>
        </w:tc>
        <w:tc>
          <w:tcPr>
            <w:tcW w:w="38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Raksturojums vai kritērijs</w:t>
            </w:r>
          </w:p>
        </w:tc>
      </w:tr>
      <w:tr w:rsidR="0093366A" w:rsidRPr="00AF6EF7" w:rsidTr="00AF6EF7">
        <w:trPr>
          <w:jc w:val="center"/>
        </w:trPr>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Veids</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Gatavs lietošanai</w:t>
            </w:r>
          </w:p>
        </w:tc>
      </w:tr>
      <w:tr w:rsidR="0093366A" w:rsidRPr="00AF6EF7" w:rsidTr="00AF6EF7">
        <w:trPr>
          <w:jc w:val="center"/>
        </w:trPr>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Aktīvā viela, koncentrācija*</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Saskaņā ar Eiropas Slimību profilakses un kontroles centra rekomendācijām</w:t>
            </w:r>
          </w:p>
        </w:tc>
      </w:tr>
      <w:tr w:rsidR="0093366A" w:rsidRPr="00AF6EF7" w:rsidTr="00AF6EF7">
        <w:trPr>
          <w:jc w:val="center"/>
        </w:trPr>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Smarža</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Raksturīga, atbilstoša produktam (var būt ar alkohola smaku)</w:t>
            </w:r>
          </w:p>
        </w:tc>
      </w:tr>
      <w:tr w:rsidR="0093366A" w:rsidRPr="00AF6EF7" w:rsidTr="00AF6EF7">
        <w:trPr>
          <w:jc w:val="center"/>
        </w:trPr>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Aktivitāte</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Aktīvs pret vīrusiem, baktērijām, sēnītēm un mikroorganismiem</w:t>
            </w:r>
          </w:p>
        </w:tc>
      </w:tr>
      <w:tr w:rsidR="0093366A" w:rsidRPr="00AF6EF7" w:rsidTr="00AF6EF7">
        <w:trPr>
          <w:jc w:val="center"/>
        </w:trPr>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Glabāšana</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lang w:eastAsia="lv-LV"/>
              </w:rPr>
            </w:pPr>
            <w:r w:rsidRPr="00AF6EF7">
              <w:rPr>
                <w:rFonts w:ascii="Times New Roman" w:eastAsia="Times New Roman" w:hAnsi="Times New Roman" w:cs="Times New Roman"/>
                <w:lang w:eastAsia="lv-LV"/>
              </w:rPr>
              <w:t>Saskaņā ar marķējumā norādīto</w:t>
            </w:r>
          </w:p>
        </w:tc>
      </w:tr>
    </w:tbl>
    <w:p w:rsidR="0093366A"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Piezīme. * Attiecībā uz aktīvo vielu(-</w:t>
      </w:r>
      <w:proofErr w:type="spellStart"/>
      <w:r w:rsidRPr="00AF6EF7">
        <w:rPr>
          <w:rFonts w:ascii="Times New Roman" w:eastAsia="Times New Roman" w:hAnsi="Times New Roman" w:cs="Times New Roman"/>
          <w:sz w:val="20"/>
          <w:szCs w:val="20"/>
          <w:lang w:eastAsia="lv-LV"/>
        </w:rPr>
        <w:t>ām</w:t>
      </w:r>
      <w:proofErr w:type="spellEnd"/>
      <w:r w:rsidRPr="00AF6EF7">
        <w:rPr>
          <w:rFonts w:ascii="Times New Roman" w:eastAsia="Times New Roman" w:hAnsi="Times New Roman" w:cs="Times New Roman"/>
          <w:sz w:val="20"/>
          <w:szCs w:val="20"/>
          <w:lang w:eastAsia="lv-LV"/>
        </w:rPr>
        <w:t xml:space="preserve">) un </w:t>
      </w:r>
      <w:proofErr w:type="gramStart"/>
      <w:r w:rsidRPr="00AF6EF7">
        <w:rPr>
          <w:rFonts w:ascii="Times New Roman" w:eastAsia="Times New Roman" w:hAnsi="Times New Roman" w:cs="Times New Roman"/>
          <w:sz w:val="20"/>
          <w:szCs w:val="20"/>
          <w:lang w:eastAsia="lv-LV"/>
        </w:rPr>
        <w:t>koncentrāciju</w:t>
      </w:r>
      <w:proofErr w:type="gramEnd"/>
      <w:r w:rsidRPr="00AF6EF7">
        <w:rPr>
          <w:rFonts w:ascii="Times New Roman" w:eastAsia="Times New Roman" w:hAnsi="Times New Roman" w:cs="Times New Roman"/>
          <w:sz w:val="20"/>
          <w:szCs w:val="20"/>
          <w:lang w:eastAsia="lv-LV"/>
        </w:rPr>
        <w:t xml:space="preserve"> jānodrošina pierādījumi par efektivitāti - attiecīgajā produktu veidā.</w:t>
      </w:r>
    </w:p>
    <w:p w:rsidR="0093366A" w:rsidRPr="00AF6EF7" w:rsidRDefault="0093366A" w:rsidP="00AF6EF7">
      <w:pPr>
        <w:shd w:val="clear" w:color="auto" w:fill="FFFFFF"/>
        <w:spacing w:before="120" w:after="120" w:line="293" w:lineRule="atLeast"/>
        <w:ind w:firstLine="301"/>
        <w:jc w:val="center"/>
        <w:rPr>
          <w:rFonts w:ascii="Times New Roman" w:eastAsia="Times New Roman" w:hAnsi="Times New Roman" w:cs="Times New Roman"/>
          <w:b/>
          <w:bCs/>
          <w:sz w:val="24"/>
          <w:szCs w:val="24"/>
          <w:lang w:eastAsia="lv-LV"/>
        </w:rPr>
      </w:pPr>
      <w:r w:rsidRPr="00AF6EF7">
        <w:rPr>
          <w:rFonts w:ascii="Times New Roman" w:eastAsia="Times New Roman" w:hAnsi="Times New Roman" w:cs="Times New Roman"/>
          <w:b/>
          <w:bCs/>
          <w:sz w:val="24"/>
          <w:szCs w:val="24"/>
          <w:lang w:eastAsia="lv-LV"/>
        </w:rPr>
        <w:t>XI. Virsmu dezinfekcijas līdzekļa kvalitātes kritēriji</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Virsmu dezinfekcijas līdzeklis atbilst:</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1) normatīvajiem aktiem par preču drošuma, kvalitātes un obligātajām nekaitīguma prasībām;</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2) Eiropas Parlamenta un Padomes 2008. gada 16. decembra Regulai (ES) Nr. </w:t>
      </w:r>
      <w:hyperlink r:id="rId18" w:tgtFrame="_blank" w:history="1">
        <w:r w:rsidRPr="00AF6EF7">
          <w:rPr>
            <w:rFonts w:ascii="Times New Roman" w:eastAsia="Times New Roman" w:hAnsi="Times New Roman" w:cs="Times New Roman"/>
            <w:sz w:val="24"/>
            <w:szCs w:val="24"/>
            <w:lang w:eastAsia="lv-LV"/>
          </w:rPr>
          <w:t>1272/2008</w:t>
        </w:r>
      </w:hyperlink>
      <w:r w:rsidRPr="00AF6EF7">
        <w:rPr>
          <w:rFonts w:ascii="Times New Roman" w:eastAsia="Times New Roman" w:hAnsi="Times New Roman" w:cs="Times New Roman"/>
          <w:sz w:val="24"/>
          <w:szCs w:val="24"/>
          <w:lang w:eastAsia="lv-LV"/>
        </w:rPr>
        <w:t> par vielu un maisījumu klasificēšanu, marķēšanu un iepakošanu un ar ko groza un atceļ Direktīvas </w:t>
      </w:r>
      <w:hyperlink r:id="rId19" w:tgtFrame="_blank" w:history="1">
        <w:r w:rsidRPr="00AF6EF7">
          <w:rPr>
            <w:rFonts w:ascii="Times New Roman" w:eastAsia="Times New Roman" w:hAnsi="Times New Roman" w:cs="Times New Roman"/>
            <w:sz w:val="24"/>
            <w:szCs w:val="24"/>
            <w:lang w:eastAsia="lv-LV"/>
          </w:rPr>
          <w:t>67/548/EEK</w:t>
        </w:r>
      </w:hyperlink>
      <w:r w:rsidRPr="00AF6EF7">
        <w:rPr>
          <w:rFonts w:ascii="Times New Roman" w:eastAsia="Times New Roman" w:hAnsi="Times New Roman" w:cs="Times New Roman"/>
          <w:sz w:val="24"/>
          <w:szCs w:val="24"/>
          <w:lang w:eastAsia="lv-LV"/>
        </w:rPr>
        <w:t> un </w:t>
      </w:r>
      <w:hyperlink r:id="rId20" w:tgtFrame="_blank" w:history="1">
        <w:r w:rsidRPr="00AF6EF7">
          <w:rPr>
            <w:rFonts w:ascii="Times New Roman" w:eastAsia="Times New Roman" w:hAnsi="Times New Roman" w:cs="Times New Roman"/>
            <w:sz w:val="24"/>
            <w:szCs w:val="24"/>
            <w:lang w:eastAsia="lv-LV"/>
          </w:rPr>
          <w:t>1999/45/EK</w:t>
        </w:r>
      </w:hyperlink>
      <w:r w:rsidRPr="00AF6EF7">
        <w:rPr>
          <w:rFonts w:ascii="Times New Roman" w:eastAsia="Times New Roman" w:hAnsi="Times New Roman" w:cs="Times New Roman"/>
          <w:sz w:val="24"/>
          <w:szCs w:val="24"/>
          <w:lang w:eastAsia="lv-LV"/>
        </w:rPr>
        <w:t> un groza Regulu (EK) Nr. </w:t>
      </w:r>
      <w:hyperlink r:id="rId21" w:tgtFrame="_blank" w:history="1">
        <w:r w:rsidRPr="00AF6EF7">
          <w:rPr>
            <w:rFonts w:ascii="Times New Roman" w:eastAsia="Times New Roman" w:hAnsi="Times New Roman" w:cs="Times New Roman"/>
            <w:sz w:val="24"/>
            <w:szCs w:val="24"/>
            <w:lang w:eastAsia="lv-LV"/>
          </w:rPr>
          <w:t>1907/2006</w:t>
        </w:r>
      </w:hyperlink>
      <w:r w:rsidRPr="00AF6EF7">
        <w:rPr>
          <w:rFonts w:ascii="Times New Roman" w:eastAsia="Times New Roman" w:hAnsi="Times New Roman" w:cs="Times New Roman"/>
          <w:sz w:val="24"/>
          <w:szCs w:val="24"/>
          <w:lang w:eastAsia="lv-LV"/>
        </w:rPr>
        <w:t>;</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3) Eiropas Parlamenta un Padomes 2012. gada 22. maija Regulai (ES) Nr. </w:t>
      </w:r>
      <w:hyperlink r:id="rId22" w:tgtFrame="_blank" w:history="1">
        <w:r w:rsidRPr="00AF6EF7">
          <w:rPr>
            <w:rFonts w:ascii="Times New Roman" w:eastAsia="Times New Roman" w:hAnsi="Times New Roman" w:cs="Times New Roman"/>
            <w:sz w:val="24"/>
            <w:szCs w:val="24"/>
            <w:lang w:eastAsia="lv-LV"/>
          </w:rPr>
          <w:t>528/2012</w:t>
        </w:r>
      </w:hyperlink>
      <w:r w:rsidRPr="00AF6EF7">
        <w:rPr>
          <w:rFonts w:ascii="Times New Roman" w:eastAsia="Times New Roman" w:hAnsi="Times New Roman" w:cs="Times New Roman"/>
          <w:sz w:val="24"/>
          <w:szCs w:val="24"/>
          <w:lang w:eastAsia="lv-LV"/>
        </w:rPr>
        <w:t> par biocīdu piedāvāšanu tirgū un lietošanu;</w:t>
      </w:r>
    </w:p>
    <w:p w:rsidR="0093366A" w:rsidRPr="00AF6EF7" w:rsidRDefault="0093366A" w:rsidP="00AF6EF7">
      <w:pPr>
        <w:shd w:val="clear" w:color="auto" w:fill="FFFFFF"/>
        <w:spacing w:before="120" w:after="120" w:line="293" w:lineRule="atLeast"/>
        <w:ind w:firstLine="301"/>
        <w:jc w:val="both"/>
        <w:rPr>
          <w:rFonts w:ascii="Times New Roman" w:eastAsia="Times New Roman" w:hAnsi="Times New Roman" w:cs="Times New Roman"/>
          <w:sz w:val="24"/>
          <w:szCs w:val="24"/>
          <w:lang w:eastAsia="lv-LV"/>
        </w:rPr>
      </w:pPr>
      <w:r w:rsidRPr="00AF6EF7">
        <w:rPr>
          <w:rFonts w:ascii="Times New Roman" w:eastAsia="Times New Roman" w:hAnsi="Times New Roman" w:cs="Times New Roman"/>
          <w:sz w:val="24"/>
          <w:szCs w:val="24"/>
          <w:lang w:eastAsia="lv-LV"/>
        </w:rPr>
        <w:t>4) Ministru kabineta 2013. gada 27. augusta noteikumiem Nr. 628 "</w:t>
      </w:r>
      <w:hyperlink r:id="rId23" w:tgtFrame="_blank" w:history="1">
        <w:r w:rsidRPr="00AF6EF7">
          <w:rPr>
            <w:rFonts w:ascii="Times New Roman" w:eastAsia="Times New Roman" w:hAnsi="Times New Roman" w:cs="Times New Roman"/>
            <w:sz w:val="24"/>
            <w:szCs w:val="24"/>
            <w:lang w:eastAsia="lv-LV"/>
          </w:rPr>
          <w:t>Prasības attiecībā uz darbībām ar biocīdiem</w:t>
        </w:r>
      </w:hyperlink>
      <w:r w:rsidRPr="00AF6EF7">
        <w:rPr>
          <w:rFonts w:ascii="Times New Roman" w:eastAsia="Times New Roman" w:hAnsi="Times New Roman" w:cs="Times New Roman"/>
          <w:sz w:val="24"/>
          <w:szCs w:val="24"/>
          <w:lang w:eastAsia="lv-LV"/>
        </w:rPr>
        <w:t>".</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990"/>
        <w:gridCol w:w="6300"/>
      </w:tblGrid>
      <w:tr w:rsidR="0093366A" w:rsidRPr="00AF6EF7" w:rsidTr="00164837">
        <w:tc>
          <w:tcPr>
            <w:tcW w:w="1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Kvalitātes kritērija nosaukums</w:t>
            </w:r>
          </w:p>
        </w:tc>
        <w:tc>
          <w:tcPr>
            <w:tcW w:w="38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93366A" w:rsidRPr="00AF6EF7" w:rsidRDefault="0093366A" w:rsidP="00164837">
            <w:pPr>
              <w:spacing w:before="100" w:beforeAutospacing="1" w:after="100" w:afterAutospacing="1" w:line="293" w:lineRule="atLeast"/>
              <w:jc w:val="center"/>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Raksturojums vai kritērijs</w:t>
            </w:r>
          </w:p>
        </w:tc>
      </w:tr>
      <w:tr w:rsidR="0093366A" w:rsidRPr="00AF6EF7" w:rsidTr="00164837">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Veids</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Gatavs lietošanai</w:t>
            </w:r>
          </w:p>
        </w:tc>
      </w:tr>
      <w:tr w:rsidR="0093366A" w:rsidRPr="00AF6EF7" w:rsidTr="00164837">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Aktīvā viela, koncentrācija**</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Saskaņā ar Eiropas Slimību profilakses un kontroles centra rekomendācijām</w:t>
            </w:r>
          </w:p>
        </w:tc>
      </w:tr>
      <w:tr w:rsidR="0093366A" w:rsidRPr="00AF6EF7" w:rsidTr="00164837">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Aktivitāte</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Aktīvs pret vīrusiem, baktērijām, sēnītēm un mikroorganismiem</w:t>
            </w:r>
          </w:p>
        </w:tc>
      </w:tr>
      <w:tr w:rsidR="0093366A" w:rsidRPr="00AF6EF7" w:rsidTr="00164837">
        <w:tc>
          <w:tcPr>
            <w:tcW w:w="12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Glabāšana</w:t>
            </w:r>
          </w:p>
        </w:tc>
        <w:tc>
          <w:tcPr>
            <w:tcW w:w="3800" w:type="pct"/>
            <w:tcBorders>
              <w:top w:val="outset" w:sz="6" w:space="0" w:color="414142"/>
              <w:left w:val="outset" w:sz="6" w:space="0" w:color="414142"/>
              <w:bottom w:val="outset" w:sz="6" w:space="0" w:color="414142"/>
              <w:right w:val="outset" w:sz="6" w:space="0" w:color="414142"/>
            </w:tcBorders>
            <w:shd w:val="clear" w:color="auto" w:fill="FFFFFF"/>
            <w:hideMark/>
          </w:tcPr>
          <w:p w:rsidR="0093366A" w:rsidRPr="00AF6EF7" w:rsidRDefault="0093366A" w:rsidP="00164837">
            <w:pPr>
              <w:spacing w:after="0" w:line="240" w:lineRule="auto"/>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Saskaņā ar marķējumā norādīto</w:t>
            </w:r>
          </w:p>
        </w:tc>
      </w:tr>
    </w:tbl>
    <w:p w:rsidR="00244984" w:rsidRPr="00AF6EF7" w:rsidRDefault="0093366A" w:rsidP="00AF6EF7">
      <w:pPr>
        <w:shd w:val="clear" w:color="auto" w:fill="FFFFFF"/>
        <w:spacing w:before="120" w:after="120" w:line="293" w:lineRule="atLeast"/>
        <w:ind w:firstLine="301"/>
        <w:rPr>
          <w:rFonts w:ascii="Times New Roman" w:eastAsia="Times New Roman" w:hAnsi="Times New Roman" w:cs="Times New Roman"/>
          <w:sz w:val="20"/>
          <w:szCs w:val="20"/>
          <w:lang w:eastAsia="lv-LV"/>
        </w:rPr>
      </w:pPr>
      <w:r w:rsidRPr="00AF6EF7">
        <w:rPr>
          <w:rFonts w:ascii="Times New Roman" w:eastAsia="Times New Roman" w:hAnsi="Times New Roman" w:cs="Times New Roman"/>
          <w:sz w:val="20"/>
          <w:szCs w:val="20"/>
          <w:lang w:eastAsia="lv-LV"/>
        </w:rPr>
        <w:t>Piezīme. ** Attiecībā uz aktīvo vielu(-</w:t>
      </w:r>
      <w:proofErr w:type="spellStart"/>
      <w:r w:rsidRPr="00AF6EF7">
        <w:rPr>
          <w:rFonts w:ascii="Times New Roman" w:eastAsia="Times New Roman" w:hAnsi="Times New Roman" w:cs="Times New Roman"/>
          <w:sz w:val="20"/>
          <w:szCs w:val="20"/>
          <w:lang w:eastAsia="lv-LV"/>
        </w:rPr>
        <w:t>ām</w:t>
      </w:r>
      <w:proofErr w:type="spellEnd"/>
      <w:r w:rsidRPr="00AF6EF7">
        <w:rPr>
          <w:rFonts w:ascii="Times New Roman" w:eastAsia="Times New Roman" w:hAnsi="Times New Roman" w:cs="Times New Roman"/>
          <w:sz w:val="20"/>
          <w:szCs w:val="20"/>
          <w:lang w:eastAsia="lv-LV"/>
        </w:rPr>
        <w:t xml:space="preserve">) un </w:t>
      </w:r>
      <w:proofErr w:type="gramStart"/>
      <w:r w:rsidRPr="00AF6EF7">
        <w:rPr>
          <w:rFonts w:ascii="Times New Roman" w:eastAsia="Times New Roman" w:hAnsi="Times New Roman" w:cs="Times New Roman"/>
          <w:sz w:val="20"/>
          <w:szCs w:val="20"/>
          <w:lang w:eastAsia="lv-LV"/>
        </w:rPr>
        <w:t>koncentrāciju</w:t>
      </w:r>
      <w:proofErr w:type="gramEnd"/>
      <w:r w:rsidRPr="00AF6EF7">
        <w:rPr>
          <w:rFonts w:ascii="Times New Roman" w:eastAsia="Times New Roman" w:hAnsi="Times New Roman" w:cs="Times New Roman"/>
          <w:sz w:val="20"/>
          <w:szCs w:val="20"/>
          <w:lang w:eastAsia="lv-LV"/>
        </w:rPr>
        <w:t xml:space="preserve"> jānodrošina pierādījumi par efektivitāti - attiecīgajā produktu veidā."</w:t>
      </w:r>
    </w:p>
    <w:sectPr w:rsidR="00244984" w:rsidRPr="00AF6EF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A230B7"/>
    <w:multiLevelType w:val="hybridMultilevel"/>
    <w:tmpl w:val="E3DE51BE"/>
    <w:lvl w:ilvl="0" w:tplc="34B2124A">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39966CC"/>
    <w:multiLevelType w:val="hybridMultilevel"/>
    <w:tmpl w:val="A39ABDF6"/>
    <w:lvl w:ilvl="0" w:tplc="578E3E68">
      <w:start w:val="1"/>
      <w:numFmt w:val="decimal"/>
      <w:lvlText w:val="%1)"/>
      <w:lvlJc w:val="left"/>
      <w:pPr>
        <w:ind w:left="502"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ED6"/>
    <w:rsid w:val="000946CC"/>
    <w:rsid w:val="00244984"/>
    <w:rsid w:val="0047753E"/>
    <w:rsid w:val="004B1F95"/>
    <w:rsid w:val="004E7ED6"/>
    <w:rsid w:val="005E0557"/>
    <w:rsid w:val="00704BBF"/>
    <w:rsid w:val="00710B6F"/>
    <w:rsid w:val="0093366A"/>
    <w:rsid w:val="00935484"/>
    <w:rsid w:val="009D0497"/>
    <w:rsid w:val="00AB5061"/>
    <w:rsid w:val="00AF6EF7"/>
    <w:rsid w:val="00C2041A"/>
    <w:rsid w:val="00C301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52214-129B-4A0B-BF88-90029DB7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6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0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061"/>
    <w:rPr>
      <w:rFonts w:ascii="Segoe UI" w:hAnsi="Segoe UI" w:cs="Segoe UI"/>
      <w:sz w:val="18"/>
      <w:szCs w:val="18"/>
    </w:rPr>
  </w:style>
  <w:style w:type="character" w:styleId="Hyperlink">
    <w:name w:val="Hyperlink"/>
    <w:basedOn w:val="DefaultParagraphFont"/>
    <w:uiPriority w:val="99"/>
    <w:unhideWhenUsed/>
    <w:rsid w:val="00AB5061"/>
    <w:rPr>
      <w:color w:val="0563C1" w:themeColor="hyperlink"/>
      <w:u w:val="single"/>
    </w:rPr>
  </w:style>
  <w:style w:type="paragraph" w:styleId="ListParagraph">
    <w:name w:val="List Paragraph"/>
    <w:basedOn w:val="Normal"/>
    <w:uiPriority w:val="34"/>
    <w:qFormat/>
    <w:rsid w:val="00C301BA"/>
    <w:pPr>
      <w:ind w:left="720"/>
      <w:contextualSpacing/>
    </w:pPr>
  </w:style>
  <w:style w:type="character" w:styleId="CommentReference">
    <w:name w:val="annotation reference"/>
    <w:basedOn w:val="DefaultParagraphFont"/>
    <w:uiPriority w:val="99"/>
    <w:semiHidden/>
    <w:unhideWhenUsed/>
    <w:rsid w:val="00704BBF"/>
    <w:rPr>
      <w:sz w:val="16"/>
      <w:szCs w:val="16"/>
    </w:rPr>
  </w:style>
  <w:style w:type="paragraph" w:styleId="CommentText">
    <w:name w:val="annotation text"/>
    <w:basedOn w:val="Normal"/>
    <w:link w:val="CommentTextChar"/>
    <w:uiPriority w:val="99"/>
    <w:semiHidden/>
    <w:unhideWhenUsed/>
    <w:rsid w:val="00704BBF"/>
    <w:pPr>
      <w:spacing w:line="240" w:lineRule="auto"/>
    </w:pPr>
    <w:rPr>
      <w:sz w:val="20"/>
      <w:szCs w:val="20"/>
    </w:rPr>
  </w:style>
  <w:style w:type="character" w:customStyle="1" w:styleId="CommentTextChar">
    <w:name w:val="Comment Text Char"/>
    <w:basedOn w:val="DefaultParagraphFont"/>
    <w:link w:val="CommentText"/>
    <w:uiPriority w:val="99"/>
    <w:semiHidden/>
    <w:rsid w:val="00704BBF"/>
    <w:rPr>
      <w:sz w:val="20"/>
      <w:szCs w:val="20"/>
    </w:rPr>
  </w:style>
  <w:style w:type="paragraph" w:styleId="CommentSubject">
    <w:name w:val="annotation subject"/>
    <w:basedOn w:val="CommentText"/>
    <w:next w:val="CommentText"/>
    <w:link w:val="CommentSubjectChar"/>
    <w:uiPriority w:val="99"/>
    <w:semiHidden/>
    <w:unhideWhenUsed/>
    <w:rsid w:val="00704BBF"/>
    <w:rPr>
      <w:b/>
      <w:bCs/>
    </w:rPr>
  </w:style>
  <w:style w:type="character" w:customStyle="1" w:styleId="CommentSubjectChar">
    <w:name w:val="Comment Subject Char"/>
    <w:basedOn w:val="CommentTextChar"/>
    <w:link w:val="CommentSubject"/>
    <w:uiPriority w:val="99"/>
    <w:semiHidden/>
    <w:rsid w:val="00704B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09/1223/oj/?locale=LV" TargetMode="External"/><Relationship Id="rId13" Type="http://schemas.openxmlformats.org/officeDocument/2006/relationships/hyperlink" Target="http://eur-lex.europa.eu/eli/dir/1967/548/oj/?locale=LV" TargetMode="External"/><Relationship Id="rId18" Type="http://schemas.openxmlformats.org/officeDocument/2006/relationships/hyperlink" Target="http://eur-lex.europa.eu/eli/reg/2008/1272/oj/?locale=LV" TargetMode="External"/><Relationship Id="rId3" Type="http://schemas.openxmlformats.org/officeDocument/2006/relationships/styles" Target="styles.xml"/><Relationship Id="rId21" Type="http://schemas.openxmlformats.org/officeDocument/2006/relationships/hyperlink" Target="http://eur-lex.europa.eu/eli/reg/2006/1907/oj/?locale=LV" TargetMode="External"/><Relationship Id="rId7" Type="http://schemas.openxmlformats.org/officeDocument/2006/relationships/hyperlink" Target="http://eur-lex.europa.eu/eli/reg/2009/1223/oj/?locale=LV" TargetMode="External"/><Relationship Id="rId12" Type="http://schemas.openxmlformats.org/officeDocument/2006/relationships/hyperlink" Target="http://eur-lex.europa.eu/eli/reg/2008/1272/oj/?locale=LV" TargetMode="External"/><Relationship Id="rId17" Type="http://schemas.openxmlformats.org/officeDocument/2006/relationships/hyperlink" Target="https://likumi.lv/ta/id/259337-prasibas-attieciba-uz-darbibam-ar-biocidie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ur-lex.europa.eu/eli/reg/2012/528/oj/?locale=LV" TargetMode="External"/><Relationship Id="rId20" Type="http://schemas.openxmlformats.org/officeDocument/2006/relationships/hyperlink" Target="http://eur-lex.europa.eu/eli/dir/1999/45/oj/?locale=LV" TargetMode="External"/><Relationship Id="rId1" Type="http://schemas.openxmlformats.org/officeDocument/2006/relationships/customXml" Target="../customXml/item1.xml"/><Relationship Id="rId6" Type="http://schemas.openxmlformats.org/officeDocument/2006/relationships/hyperlink" Target="http://eur-lex.europa.eu/eli/reg/2009/1223/oj/?locale=LV" TargetMode="External"/><Relationship Id="rId11" Type="http://schemas.openxmlformats.org/officeDocument/2006/relationships/hyperlink" Target="https://likumi.lv/ta/id/27078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ur-lex.europa.eu/eli/reg/2006/1907/oj/?locale=LV" TargetMode="External"/><Relationship Id="rId23" Type="http://schemas.openxmlformats.org/officeDocument/2006/relationships/hyperlink" Target="https://likumi.lv/ta/id/259337-prasibas-attieciba-uz-darbibam-ar-biocidiem" TargetMode="External"/><Relationship Id="rId10" Type="http://schemas.openxmlformats.org/officeDocument/2006/relationships/hyperlink" Target="http://eur-lex.europa.eu/eli/reg/2009/1223/oj/?locale=LV" TargetMode="External"/><Relationship Id="rId19" Type="http://schemas.openxmlformats.org/officeDocument/2006/relationships/hyperlink" Target="http://eur-lex.europa.eu/eli/dir/1967/548/oj/?locale=LV" TargetMode="External"/><Relationship Id="rId4" Type="http://schemas.openxmlformats.org/officeDocument/2006/relationships/settings" Target="settings.xml"/><Relationship Id="rId9" Type="http://schemas.openxmlformats.org/officeDocument/2006/relationships/hyperlink" Target="http://eur-lex.europa.eu/eli/reg/2009/1223/oj/?locale=LV" TargetMode="External"/><Relationship Id="rId14" Type="http://schemas.openxmlformats.org/officeDocument/2006/relationships/hyperlink" Target="http://eur-lex.europa.eu/eli/dir/1999/45/oj/?locale=LV" TargetMode="External"/><Relationship Id="rId22" Type="http://schemas.openxmlformats.org/officeDocument/2006/relationships/hyperlink" Target="http://eur-lex.europa.eu/eli/reg/2012/528/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EA0F5-F563-4AEF-A2DD-8D301DAE8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6181</Words>
  <Characters>3524</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Latviete</dc:creator>
  <cp:keywords/>
  <dc:description/>
  <cp:lastModifiedBy>Ilze Latviete</cp:lastModifiedBy>
  <cp:revision>10</cp:revision>
  <dcterms:created xsi:type="dcterms:W3CDTF">2021-10-21T06:33:00Z</dcterms:created>
  <dcterms:modified xsi:type="dcterms:W3CDTF">2022-05-02T08:06:00Z</dcterms:modified>
</cp:coreProperties>
</file>